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06CCFC">
      <w:pPr>
        <w:topLinePunct/>
        <w:spacing w:line="480" w:lineRule="auto"/>
        <w:jc w:val="center"/>
        <w:rPr>
          <w:rFonts w:ascii="Times New Roman" w:hAnsi="Times New Roman" w:cs="Times New Roman"/>
          <w:color w:val="000000" w:themeColor="text1"/>
          <w:sz w:val="48"/>
          <w:szCs w:val="48"/>
        </w:rPr>
      </w:pPr>
    </w:p>
    <w:p w14:paraId="7D83F37E">
      <w:pPr>
        <w:topLinePunct/>
        <w:spacing w:line="480" w:lineRule="auto"/>
        <w:jc w:val="center"/>
        <w:rPr>
          <w:rFonts w:ascii="Times New Roman" w:hAnsi="Times New Roman" w:cs="Times New Roman"/>
          <w:color w:val="000000" w:themeColor="text1"/>
          <w:sz w:val="48"/>
          <w:szCs w:val="48"/>
        </w:rPr>
      </w:pPr>
    </w:p>
    <w:p w14:paraId="0065FBFA">
      <w:pPr>
        <w:topLinePunct/>
        <w:spacing w:line="480" w:lineRule="auto"/>
        <w:jc w:val="center"/>
        <w:rPr>
          <w:rFonts w:ascii="Times New Roman" w:hAnsi="Times New Roman" w:cs="Times New Roman"/>
          <w:color w:val="000000" w:themeColor="text1"/>
          <w:sz w:val="48"/>
          <w:szCs w:val="48"/>
        </w:rPr>
      </w:pPr>
    </w:p>
    <w:p w14:paraId="0610E315">
      <w:pPr>
        <w:topLinePunct/>
        <w:spacing w:line="480" w:lineRule="auto"/>
        <w:jc w:val="center"/>
        <w:rPr>
          <w:rFonts w:ascii="Times New Roman" w:hAnsi="Times New Roman" w:cs="Times New Roman"/>
          <w:color w:val="000000" w:themeColor="text1"/>
          <w:sz w:val="48"/>
          <w:szCs w:val="48"/>
        </w:rPr>
      </w:pPr>
    </w:p>
    <w:p w14:paraId="1545862E">
      <w:pPr>
        <w:topLinePunct/>
        <w:spacing w:line="480" w:lineRule="auto"/>
        <w:jc w:val="center"/>
        <w:rPr>
          <w:rFonts w:ascii="Times New Roman" w:hAnsi="Times New Roman" w:cs="Times New Roman"/>
          <w:color w:val="000000" w:themeColor="text1"/>
          <w:sz w:val="48"/>
          <w:szCs w:val="48"/>
        </w:rPr>
      </w:pPr>
      <w:r>
        <w:rPr>
          <w:rFonts w:hint="eastAsia" w:ascii="Times New Roman" w:hAnsi="Times New Roman" w:cs="Times New Roman"/>
          <w:color w:val="000000" w:themeColor="text1"/>
          <w:sz w:val="48"/>
          <w:szCs w:val="48"/>
        </w:rPr>
        <w:t>鸡东县永平采石场</w:t>
      </w:r>
    </w:p>
    <w:p w14:paraId="35CA32E6">
      <w:pPr>
        <w:topLinePunct/>
        <w:spacing w:line="480" w:lineRule="auto"/>
        <w:jc w:val="center"/>
        <w:rPr>
          <w:rFonts w:ascii="Times New Roman" w:hAnsi="Times New Roman" w:eastAsia="黑体" w:cs="Times New Roman"/>
          <w:color w:val="000000" w:themeColor="text1"/>
          <w:sz w:val="52"/>
          <w:szCs w:val="52"/>
        </w:rPr>
      </w:pPr>
      <w:r>
        <w:rPr>
          <w:rFonts w:ascii="Times New Roman" w:hAnsi="Times New Roman" w:eastAsia="黑体" w:cs="Times New Roman"/>
          <w:color w:val="000000" w:themeColor="text1"/>
          <w:sz w:val="52"/>
          <w:szCs w:val="52"/>
        </w:rPr>
        <w:t>矿区生态修复方案</w:t>
      </w:r>
    </w:p>
    <w:p w14:paraId="768B4A6F">
      <w:pPr>
        <w:topLinePunct/>
        <w:spacing w:line="480" w:lineRule="auto"/>
        <w:jc w:val="center"/>
        <w:rPr>
          <w:rFonts w:ascii="Times New Roman" w:hAnsi="Times New Roman" w:cs="Times New Roman"/>
          <w:color w:val="000000" w:themeColor="text1"/>
        </w:rPr>
      </w:pPr>
    </w:p>
    <w:p w14:paraId="2F7781FF">
      <w:pPr>
        <w:topLinePunct/>
        <w:spacing w:line="480" w:lineRule="auto"/>
        <w:jc w:val="center"/>
        <w:rPr>
          <w:rFonts w:ascii="Times New Roman" w:hAnsi="Times New Roman" w:cs="Times New Roman"/>
          <w:color w:val="000000" w:themeColor="text1"/>
        </w:rPr>
      </w:pPr>
    </w:p>
    <w:p w14:paraId="0B04E94B">
      <w:pPr>
        <w:topLinePunct/>
        <w:spacing w:line="480" w:lineRule="auto"/>
        <w:jc w:val="center"/>
        <w:rPr>
          <w:rFonts w:ascii="Times New Roman" w:hAnsi="Times New Roman" w:cs="Times New Roman"/>
          <w:color w:val="000000" w:themeColor="text1"/>
        </w:rPr>
      </w:pPr>
    </w:p>
    <w:p w14:paraId="7E660F79">
      <w:pPr>
        <w:topLinePunct/>
        <w:spacing w:line="480" w:lineRule="auto"/>
        <w:jc w:val="center"/>
        <w:rPr>
          <w:rFonts w:ascii="Times New Roman" w:hAnsi="Times New Roman" w:cs="Times New Roman"/>
          <w:color w:val="000000" w:themeColor="text1"/>
        </w:rPr>
      </w:pPr>
    </w:p>
    <w:p w14:paraId="615A563B">
      <w:pPr>
        <w:topLinePunct/>
        <w:spacing w:line="480" w:lineRule="auto"/>
        <w:jc w:val="center"/>
        <w:rPr>
          <w:rFonts w:ascii="Times New Roman" w:hAnsi="Times New Roman" w:cs="Times New Roman"/>
          <w:color w:val="000000" w:themeColor="text1"/>
        </w:rPr>
      </w:pPr>
    </w:p>
    <w:p w14:paraId="05A410E4">
      <w:pPr>
        <w:topLinePunct/>
        <w:spacing w:line="480" w:lineRule="auto"/>
        <w:jc w:val="center"/>
        <w:rPr>
          <w:rFonts w:ascii="Times New Roman" w:hAnsi="Times New Roman" w:cs="Times New Roman"/>
          <w:color w:val="000000" w:themeColor="text1"/>
        </w:rPr>
      </w:pPr>
    </w:p>
    <w:p w14:paraId="06781FDB">
      <w:pPr>
        <w:topLinePunct/>
        <w:spacing w:line="480" w:lineRule="auto"/>
        <w:jc w:val="center"/>
        <w:rPr>
          <w:rFonts w:ascii="Times New Roman" w:hAnsi="Times New Roman" w:cs="Times New Roman"/>
          <w:color w:val="000000" w:themeColor="text1"/>
        </w:rPr>
      </w:pPr>
    </w:p>
    <w:p w14:paraId="0FAA0F7D">
      <w:pPr>
        <w:topLinePunct/>
        <w:spacing w:line="480" w:lineRule="auto"/>
        <w:jc w:val="center"/>
        <w:rPr>
          <w:rFonts w:ascii="Times New Roman" w:hAnsi="Times New Roman" w:cs="Times New Roman"/>
          <w:color w:val="000000" w:themeColor="text1"/>
        </w:rPr>
      </w:pPr>
    </w:p>
    <w:p w14:paraId="5C878751">
      <w:pPr>
        <w:topLinePunct/>
        <w:spacing w:line="480" w:lineRule="auto"/>
        <w:jc w:val="center"/>
        <w:rPr>
          <w:rFonts w:ascii="Times New Roman" w:hAnsi="Times New Roman" w:cs="Times New Roman"/>
          <w:color w:val="000000" w:themeColor="text1"/>
        </w:rPr>
      </w:pPr>
    </w:p>
    <w:p w14:paraId="2414EEE2">
      <w:pPr>
        <w:topLinePunct/>
        <w:spacing w:line="480" w:lineRule="auto"/>
        <w:jc w:val="center"/>
        <w:rPr>
          <w:rFonts w:ascii="Times New Roman" w:hAnsi="Times New Roman" w:cs="Times New Roman"/>
          <w:color w:val="000000" w:themeColor="text1"/>
        </w:rPr>
      </w:pPr>
    </w:p>
    <w:p w14:paraId="2C50CAFD">
      <w:pPr>
        <w:topLinePunct/>
        <w:spacing w:line="480" w:lineRule="auto"/>
        <w:jc w:val="center"/>
        <w:rPr>
          <w:rFonts w:ascii="Times New Roman" w:hAnsi="Times New Roman" w:cs="Times New Roman"/>
          <w:color w:val="000000" w:themeColor="text1"/>
        </w:rPr>
      </w:pPr>
    </w:p>
    <w:p w14:paraId="04A77B56">
      <w:pPr>
        <w:topLinePunct/>
        <w:spacing w:line="480" w:lineRule="auto"/>
        <w:jc w:val="center"/>
        <w:rPr>
          <w:rFonts w:ascii="Times New Roman" w:hAnsi="Times New Roman" w:cs="Times New Roman"/>
          <w:color w:val="000000" w:themeColor="text1"/>
          <w:sz w:val="44"/>
          <w:szCs w:val="44"/>
        </w:rPr>
      </w:pPr>
      <w:r>
        <w:rPr>
          <w:rFonts w:hint="eastAsia" w:ascii="Times New Roman" w:hAnsi="Times New Roman" w:cs="Times New Roman"/>
          <w:color w:val="000000" w:themeColor="text1"/>
          <w:sz w:val="44"/>
          <w:szCs w:val="44"/>
        </w:rPr>
        <w:t>鸡东县永平采石场</w:t>
      </w:r>
    </w:p>
    <w:p w14:paraId="5455F4AB">
      <w:pPr>
        <w:topLinePunct/>
        <w:spacing w:line="480" w:lineRule="auto"/>
        <w:jc w:val="center"/>
        <w:rPr>
          <w:rFonts w:ascii="Times New Roman" w:hAnsi="Times New Roman" w:cs="Times New Roman"/>
          <w:color w:val="000000" w:themeColor="text1"/>
          <w:sz w:val="44"/>
          <w:szCs w:val="44"/>
        </w:rPr>
      </w:pPr>
      <w:r>
        <w:rPr>
          <w:rFonts w:ascii="Times New Roman" w:hAnsi="Times New Roman" w:cs="Times New Roman"/>
          <w:color w:val="000000" w:themeColor="text1"/>
          <w:sz w:val="44"/>
          <w:szCs w:val="44"/>
        </w:rPr>
        <w:t>2025年1</w:t>
      </w:r>
      <w:r>
        <w:rPr>
          <w:rFonts w:hint="eastAsia" w:ascii="Times New Roman" w:hAnsi="Times New Roman" w:cs="Times New Roman"/>
          <w:color w:val="000000" w:themeColor="text1"/>
          <w:sz w:val="44"/>
          <w:szCs w:val="44"/>
        </w:rPr>
        <w:t>2</w:t>
      </w:r>
      <w:r>
        <w:rPr>
          <w:rFonts w:ascii="Times New Roman" w:hAnsi="Times New Roman" w:cs="Times New Roman"/>
          <w:color w:val="000000" w:themeColor="text1"/>
          <w:sz w:val="44"/>
          <w:szCs w:val="44"/>
        </w:rPr>
        <w:t>月</w:t>
      </w:r>
      <w:r>
        <w:rPr>
          <w:rFonts w:hint="eastAsia" w:ascii="Times New Roman" w:hAnsi="Times New Roman" w:cs="Times New Roman"/>
          <w:color w:val="000000" w:themeColor="text1"/>
          <w:sz w:val="44"/>
          <w:szCs w:val="44"/>
        </w:rPr>
        <w:t>30</w:t>
      </w:r>
      <w:r>
        <w:rPr>
          <w:rFonts w:ascii="Times New Roman" w:hAnsi="Times New Roman" w:cs="Times New Roman"/>
          <w:color w:val="000000" w:themeColor="text1"/>
          <w:sz w:val="44"/>
          <w:szCs w:val="44"/>
        </w:rPr>
        <w:t>日</w:t>
      </w:r>
    </w:p>
    <w:p w14:paraId="5B18FE1A">
      <w:pPr>
        <w:widowControl/>
        <w:topLinePunct/>
        <w:jc w:val="left"/>
        <w:rPr>
          <w:rFonts w:ascii="Times New Roman" w:hAnsi="Times New Roman" w:cs="Times New Roman"/>
          <w:color w:val="000000" w:themeColor="text1"/>
        </w:rPr>
      </w:pPr>
      <w:r>
        <w:rPr>
          <w:rFonts w:ascii="Times New Roman" w:hAnsi="Times New Roman" w:cs="Times New Roman"/>
          <w:color w:val="000000" w:themeColor="text1"/>
        </w:rPr>
        <w:br w:type="page"/>
      </w:r>
    </w:p>
    <w:p w14:paraId="22472120">
      <w:pPr>
        <w:topLinePunct/>
        <w:spacing w:line="480" w:lineRule="auto"/>
        <w:jc w:val="center"/>
        <w:rPr>
          <w:rFonts w:ascii="Times New Roman" w:hAnsi="Times New Roman" w:cs="Times New Roman"/>
          <w:color w:val="000000" w:themeColor="text1"/>
          <w:sz w:val="48"/>
          <w:szCs w:val="48"/>
        </w:rPr>
      </w:pPr>
    </w:p>
    <w:p w14:paraId="710BA551">
      <w:pPr>
        <w:topLinePunct/>
        <w:spacing w:line="480" w:lineRule="auto"/>
        <w:jc w:val="center"/>
        <w:rPr>
          <w:rFonts w:ascii="Times New Roman" w:hAnsi="Times New Roman" w:cs="Times New Roman"/>
          <w:color w:val="000000" w:themeColor="text1"/>
          <w:sz w:val="48"/>
          <w:szCs w:val="48"/>
        </w:rPr>
      </w:pPr>
    </w:p>
    <w:p w14:paraId="46894E39">
      <w:pPr>
        <w:topLinePunct/>
        <w:spacing w:line="480" w:lineRule="auto"/>
        <w:jc w:val="center"/>
        <w:rPr>
          <w:rFonts w:ascii="Times New Roman" w:hAnsi="Times New Roman" w:cs="Times New Roman"/>
          <w:color w:val="000000" w:themeColor="text1"/>
          <w:sz w:val="48"/>
          <w:szCs w:val="48"/>
        </w:rPr>
      </w:pPr>
    </w:p>
    <w:p w14:paraId="6EBE4728">
      <w:pPr>
        <w:topLinePunct/>
        <w:spacing w:line="480" w:lineRule="auto"/>
        <w:jc w:val="center"/>
        <w:rPr>
          <w:rFonts w:ascii="Times New Roman" w:hAnsi="Times New Roman" w:cs="Times New Roman"/>
          <w:color w:val="000000" w:themeColor="text1"/>
          <w:sz w:val="48"/>
          <w:szCs w:val="48"/>
        </w:rPr>
      </w:pPr>
    </w:p>
    <w:p w14:paraId="5C940308">
      <w:pPr>
        <w:topLinePunct/>
        <w:spacing w:line="480" w:lineRule="auto"/>
        <w:jc w:val="center"/>
        <w:rPr>
          <w:rFonts w:ascii="Times New Roman" w:hAnsi="Times New Roman" w:cs="Times New Roman"/>
          <w:color w:val="000000" w:themeColor="text1"/>
          <w:sz w:val="48"/>
          <w:szCs w:val="48"/>
        </w:rPr>
      </w:pPr>
      <w:r>
        <w:rPr>
          <w:rFonts w:hint="eastAsia" w:ascii="Times New Roman" w:hAnsi="Times New Roman" w:cs="Times New Roman"/>
          <w:color w:val="000000" w:themeColor="text1"/>
          <w:sz w:val="44"/>
          <w:szCs w:val="44"/>
        </w:rPr>
        <w:t>鸡东县永平采石场</w:t>
      </w:r>
    </w:p>
    <w:p w14:paraId="271AF239">
      <w:pPr>
        <w:topLinePunct/>
        <w:spacing w:line="480" w:lineRule="auto"/>
        <w:jc w:val="center"/>
        <w:rPr>
          <w:rFonts w:ascii="Times New Roman" w:hAnsi="Times New Roman" w:eastAsia="黑体" w:cs="Times New Roman"/>
          <w:color w:val="000000" w:themeColor="text1"/>
          <w:sz w:val="52"/>
          <w:szCs w:val="52"/>
        </w:rPr>
      </w:pPr>
      <w:r>
        <w:rPr>
          <w:rFonts w:ascii="Times New Roman" w:hAnsi="Times New Roman" w:eastAsia="黑体" w:cs="Times New Roman"/>
          <w:color w:val="000000" w:themeColor="text1"/>
          <w:sz w:val="52"/>
          <w:szCs w:val="52"/>
        </w:rPr>
        <w:t>矿区生态修复方案</w:t>
      </w:r>
    </w:p>
    <w:p w14:paraId="1E3E4F06">
      <w:pPr>
        <w:topLinePunct/>
        <w:spacing w:line="480" w:lineRule="auto"/>
        <w:jc w:val="center"/>
        <w:rPr>
          <w:rFonts w:ascii="Times New Roman" w:hAnsi="Times New Roman" w:cs="Times New Roman"/>
          <w:color w:val="000000" w:themeColor="text1"/>
          <w:sz w:val="48"/>
          <w:szCs w:val="48"/>
        </w:rPr>
      </w:pPr>
    </w:p>
    <w:p w14:paraId="44DA6AE2">
      <w:pPr>
        <w:topLinePunct/>
        <w:spacing w:line="480" w:lineRule="auto"/>
        <w:jc w:val="center"/>
        <w:rPr>
          <w:rFonts w:ascii="Times New Roman" w:hAnsi="Times New Roman" w:cs="Times New Roman"/>
          <w:color w:val="000000" w:themeColor="text1"/>
          <w:sz w:val="48"/>
          <w:szCs w:val="48"/>
        </w:rPr>
      </w:pPr>
    </w:p>
    <w:p w14:paraId="0CEB21C0">
      <w:pPr>
        <w:topLinePunct/>
        <w:spacing w:line="480" w:lineRule="auto"/>
        <w:jc w:val="center"/>
        <w:rPr>
          <w:rFonts w:ascii="Times New Roman" w:hAnsi="Times New Roman" w:cs="Times New Roman"/>
          <w:color w:val="000000" w:themeColor="text1"/>
          <w:sz w:val="48"/>
          <w:szCs w:val="48"/>
        </w:rPr>
      </w:pPr>
    </w:p>
    <w:p w14:paraId="05550F8E">
      <w:pPr>
        <w:topLinePunct/>
        <w:spacing w:line="480" w:lineRule="auto"/>
        <w:jc w:val="center"/>
        <w:rPr>
          <w:rFonts w:ascii="Times New Roman" w:hAnsi="Times New Roman" w:cs="Times New Roman"/>
          <w:color w:val="000000" w:themeColor="text1"/>
          <w:sz w:val="48"/>
          <w:szCs w:val="48"/>
        </w:rPr>
      </w:pPr>
    </w:p>
    <w:p w14:paraId="4080AA95">
      <w:pPr>
        <w:topLinePunct/>
        <w:spacing w:line="480" w:lineRule="auto"/>
        <w:jc w:val="center"/>
        <w:rPr>
          <w:rFonts w:ascii="Times New Roman" w:hAnsi="Times New Roman" w:cs="Times New Roman"/>
          <w:color w:val="000000" w:themeColor="text1"/>
          <w:sz w:val="48"/>
          <w:szCs w:val="48"/>
        </w:rPr>
      </w:pPr>
    </w:p>
    <w:p w14:paraId="47855B59">
      <w:pPr>
        <w:topLinePunct/>
        <w:spacing w:line="480" w:lineRule="auto"/>
        <w:jc w:val="center"/>
        <w:rPr>
          <w:rFonts w:ascii="Times New Roman" w:hAnsi="Times New Roman" w:cs="Times New Roman"/>
          <w:color w:val="000000" w:themeColor="text1"/>
          <w:sz w:val="48"/>
          <w:szCs w:val="48"/>
        </w:rPr>
      </w:pPr>
    </w:p>
    <w:p w14:paraId="1267AB7D">
      <w:pPr>
        <w:topLinePunct/>
        <w:spacing w:line="480" w:lineRule="auto"/>
        <w:jc w:val="center"/>
        <w:rPr>
          <w:rFonts w:ascii="Times New Roman" w:hAnsi="Times New Roman" w:cs="Times New Roman"/>
          <w:color w:val="000000" w:themeColor="text1"/>
          <w:sz w:val="48"/>
          <w:szCs w:val="48"/>
        </w:rPr>
      </w:pPr>
    </w:p>
    <w:p w14:paraId="112352AB">
      <w:pPr>
        <w:topLinePunct/>
        <w:spacing w:line="480" w:lineRule="auto"/>
        <w:ind w:firstLine="707" w:firstLineChars="221"/>
        <w:rPr>
          <w:rFonts w:ascii="Times New Roman" w:hAnsi="Times New Roman" w:cs="Times New Roman"/>
          <w:color w:val="000000" w:themeColor="text1"/>
          <w:sz w:val="32"/>
          <w:szCs w:val="32"/>
        </w:rPr>
      </w:pPr>
      <w:r>
        <w:rPr>
          <w:rFonts w:ascii="Times New Roman" w:hAnsi="Times New Roman" w:cs="Times New Roman"/>
          <w:color w:val="000000" w:themeColor="text1"/>
          <w:sz w:val="32"/>
          <w:szCs w:val="32"/>
        </w:rPr>
        <w:t>编制单位：黑龙江省庭川规划设计工程处</w:t>
      </w:r>
    </w:p>
    <w:p w14:paraId="06E436F2">
      <w:pPr>
        <w:topLinePunct/>
        <w:spacing w:line="480" w:lineRule="auto"/>
        <w:ind w:firstLine="707" w:firstLineChars="221"/>
        <w:rPr>
          <w:rFonts w:ascii="Times New Roman" w:hAnsi="Times New Roman" w:cs="Times New Roman"/>
          <w:color w:val="000000" w:themeColor="text1"/>
          <w:sz w:val="32"/>
          <w:szCs w:val="32"/>
        </w:rPr>
      </w:pPr>
      <w:r>
        <w:rPr>
          <w:rFonts w:ascii="Times New Roman" w:hAnsi="Times New Roman" w:cs="Times New Roman"/>
          <w:color w:val="000000" w:themeColor="text1"/>
          <w:sz w:val="32"/>
          <w:szCs w:val="32"/>
        </w:rPr>
        <w:t>法定代表人：孙彦泽</w:t>
      </w:r>
    </w:p>
    <w:p w14:paraId="6CE1BDB6">
      <w:pPr>
        <w:topLinePunct/>
        <w:spacing w:line="480" w:lineRule="auto"/>
        <w:ind w:firstLine="707" w:firstLineChars="221"/>
        <w:rPr>
          <w:rFonts w:ascii="Times New Roman" w:hAnsi="Times New Roman" w:cs="Times New Roman"/>
          <w:color w:val="000000" w:themeColor="text1"/>
          <w:sz w:val="32"/>
          <w:szCs w:val="32"/>
        </w:rPr>
      </w:pPr>
      <w:r>
        <w:rPr>
          <w:rFonts w:ascii="Times New Roman" w:hAnsi="Times New Roman" w:cs="Times New Roman"/>
          <w:color w:val="000000" w:themeColor="text1"/>
          <w:sz w:val="32"/>
          <w:szCs w:val="32"/>
        </w:rPr>
        <w:t>方案编制负责人：孙彦泽</w:t>
      </w:r>
    </w:p>
    <w:p w14:paraId="34D3D4AF">
      <w:pPr>
        <w:topLinePunct/>
        <w:spacing w:line="480" w:lineRule="auto"/>
        <w:ind w:firstLine="707" w:firstLineChars="221"/>
        <w:rPr>
          <w:rFonts w:ascii="Times New Roman" w:hAnsi="Times New Roman" w:cs="Times New Roman"/>
          <w:color w:val="000000" w:themeColor="text1"/>
          <w:sz w:val="32"/>
          <w:szCs w:val="32"/>
        </w:rPr>
      </w:pPr>
      <w:r>
        <w:rPr>
          <w:rFonts w:ascii="Times New Roman" w:hAnsi="Times New Roman" w:cs="Times New Roman"/>
          <w:color w:val="000000" w:themeColor="text1"/>
          <w:sz w:val="32"/>
          <w:szCs w:val="32"/>
        </w:rPr>
        <w:t>主要编写人员：李成吉</w:t>
      </w:r>
      <w:r>
        <w:rPr>
          <w:rFonts w:hint="eastAsia" w:ascii="Times New Roman" w:hAnsi="Times New Roman" w:cs="Times New Roman"/>
          <w:color w:val="000000" w:themeColor="text1"/>
          <w:sz w:val="32"/>
          <w:szCs w:val="32"/>
        </w:rPr>
        <w:t xml:space="preserve"> 马金利 </w:t>
      </w:r>
      <w:r>
        <w:rPr>
          <w:rFonts w:ascii="Times New Roman" w:hAnsi="Times New Roman" w:cs="Times New Roman"/>
          <w:color w:val="000000" w:themeColor="text1"/>
          <w:sz w:val="32"/>
          <w:szCs w:val="32"/>
        </w:rPr>
        <w:t>王莹</w:t>
      </w:r>
    </w:p>
    <w:p w14:paraId="1293E6F9">
      <w:pPr>
        <w:topLinePunct/>
        <w:rPr>
          <w:rFonts w:ascii="Times New Roman" w:hAnsi="Times New Roman" w:cs="Times New Roman"/>
          <w:color w:val="000000" w:themeColor="text1"/>
        </w:rPr>
      </w:pPr>
    </w:p>
    <w:p w14:paraId="66AB0D4D">
      <w:pPr>
        <w:widowControl/>
        <w:topLinePunct/>
        <w:jc w:val="left"/>
        <w:rPr>
          <w:rFonts w:ascii="Times New Roman" w:hAnsi="Times New Roman" w:cs="Times New Roman"/>
          <w:color w:val="000000" w:themeColor="text1"/>
        </w:rPr>
      </w:pPr>
      <w:r>
        <w:rPr>
          <w:rFonts w:ascii="Times New Roman" w:hAnsi="Times New Roman" w:cs="Times New Roman"/>
          <w:color w:val="000000" w:themeColor="text1"/>
        </w:rPr>
        <w:br w:type="page"/>
      </w:r>
    </w:p>
    <w:p w14:paraId="15D2DD1C">
      <w:pPr>
        <w:widowControl/>
        <w:topLinePunct/>
        <w:spacing w:line="240" w:lineRule="auto"/>
        <w:jc w:val="center"/>
        <w:rPr>
          <w:rFonts w:ascii="Times New Roman" w:hAnsi="Times New Roman" w:cs="Times New Roman"/>
          <w:color w:val="000000" w:themeColor="text1"/>
          <w:kern w:val="0"/>
          <w:sz w:val="30"/>
          <w:szCs w:val="30"/>
        </w:rPr>
      </w:pPr>
      <w:r>
        <w:rPr>
          <w:rFonts w:ascii="Times New Roman" w:hAnsi="Times New Roman" w:cs="Times New Roman"/>
          <w:color w:val="000000" w:themeColor="text1"/>
          <w:kern w:val="0"/>
          <w:sz w:val="30"/>
          <w:szCs w:val="30"/>
        </w:rPr>
        <w:t>矿区生态修复方案编制信息表</w:t>
      </w:r>
    </w:p>
    <w:tbl>
      <w:tblPr>
        <w:tblStyle w:val="4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57" w:type="dxa"/>
          <w:left w:w="28" w:type="dxa"/>
          <w:bottom w:w="57" w:type="dxa"/>
          <w:right w:w="28" w:type="dxa"/>
        </w:tblCellMar>
      </w:tblPr>
      <w:tblGrid>
        <w:gridCol w:w="647"/>
        <w:gridCol w:w="1059"/>
        <w:gridCol w:w="840"/>
        <w:gridCol w:w="1222"/>
        <w:gridCol w:w="1298"/>
        <w:gridCol w:w="1185"/>
        <w:gridCol w:w="90"/>
        <w:gridCol w:w="1410"/>
        <w:gridCol w:w="1373"/>
      </w:tblGrid>
      <w:tr w14:paraId="6FF27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restart"/>
            <w:vAlign w:val="center"/>
          </w:tcPr>
          <w:p w14:paraId="24E11D86">
            <w:pPr>
              <w:topLinePunct/>
              <w:jc w:val="center"/>
              <w:rPr>
                <w:rFonts w:ascii="Times New Roman" w:hAnsi="Times New Roman" w:cs="Times New Roman"/>
                <w:color w:val="000000" w:themeColor="text1"/>
                <w:kern w:val="0"/>
              </w:rPr>
            </w:pPr>
            <w:bookmarkStart w:id="0" w:name="_Hlk208997376"/>
            <w:r>
              <w:rPr>
                <w:rFonts w:ascii="Times New Roman" w:hAnsi="Times New Roman" w:cs="Times New Roman"/>
                <w:color w:val="000000" w:themeColor="text1"/>
                <w:kern w:val="0"/>
              </w:rPr>
              <w:t>采矿权人信息</w:t>
            </w:r>
          </w:p>
        </w:tc>
        <w:tc>
          <w:tcPr>
            <w:tcW w:w="1899" w:type="dxa"/>
            <w:gridSpan w:val="2"/>
            <w:vAlign w:val="center"/>
          </w:tcPr>
          <w:p w14:paraId="0ED10DB2">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采矿权人名称</w:t>
            </w:r>
          </w:p>
        </w:tc>
        <w:tc>
          <w:tcPr>
            <w:tcW w:w="6578" w:type="dxa"/>
            <w:gridSpan w:val="6"/>
            <w:vAlign w:val="center"/>
          </w:tcPr>
          <w:p w14:paraId="1F0A5D51">
            <w:pPr>
              <w:topLinePunct/>
              <w:jc w:val="center"/>
              <w:rPr>
                <w:rFonts w:ascii="Times New Roman" w:hAnsi="Times New Roman" w:cs="Times New Roman"/>
                <w:color w:val="000000" w:themeColor="text1"/>
                <w:kern w:val="0"/>
              </w:rPr>
            </w:pPr>
            <w:r>
              <w:rPr>
                <w:rFonts w:hint="eastAsia" w:ascii="Times New Roman" w:hAnsi="Times New Roman" w:cs="Times New Roman"/>
                <w:color w:val="000000" w:themeColor="text1"/>
                <w:kern w:val="0"/>
              </w:rPr>
              <w:t>鸡东县永平采石场</w:t>
            </w:r>
          </w:p>
        </w:tc>
      </w:tr>
      <w:bookmarkEnd w:id="0"/>
      <w:tr w14:paraId="6DD58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675D8D76">
            <w:pPr>
              <w:topLinePunct/>
              <w:jc w:val="center"/>
              <w:rPr>
                <w:rFonts w:ascii="Times New Roman" w:hAnsi="Times New Roman" w:cs="Times New Roman"/>
                <w:color w:val="000000" w:themeColor="text1"/>
                <w:kern w:val="0"/>
              </w:rPr>
            </w:pPr>
          </w:p>
        </w:tc>
        <w:tc>
          <w:tcPr>
            <w:tcW w:w="1899" w:type="dxa"/>
            <w:gridSpan w:val="2"/>
            <w:vAlign w:val="center"/>
          </w:tcPr>
          <w:p w14:paraId="3E295991">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统一社会信用代码</w:t>
            </w:r>
          </w:p>
        </w:tc>
        <w:tc>
          <w:tcPr>
            <w:tcW w:w="2520" w:type="dxa"/>
            <w:gridSpan w:val="2"/>
            <w:vAlign w:val="center"/>
          </w:tcPr>
          <w:p w14:paraId="5DAC3B80">
            <w:pPr>
              <w:topLinePunct/>
              <w:jc w:val="center"/>
              <w:rPr>
                <w:rFonts w:ascii="Times New Roman" w:hAnsi="Times New Roman" w:cs="Times New Roman"/>
                <w:color w:val="000000" w:themeColor="text1"/>
                <w:kern w:val="0"/>
              </w:rPr>
            </w:pPr>
            <w:r>
              <w:rPr>
                <w:rFonts w:hint="eastAsia" w:ascii="Times New Roman" w:hAnsi="Times New Roman" w:cs="Times New Roman"/>
                <w:color w:val="000000" w:themeColor="text1"/>
                <w:kern w:val="0"/>
              </w:rPr>
              <w:t>92230321MA196K1X03</w:t>
            </w:r>
          </w:p>
        </w:tc>
        <w:tc>
          <w:tcPr>
            <w:tcW w:w="1185" w:type="dxa"/>
            <w:vAlign w:val="center"/>
          </w:tcPr>
          <w:p w14:paraId="1DA46935">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联系人</w:t>
            </w:r>
          </w:p>
        </w:tc>
        <w:tc>
          <w:tcPr>
            <w:tcW w:w="2873" w:type="dxa"/>
            <w:gridSpan w:val="3"/>
            <w:vAlign w:val="center"/>
          </w:tcPr>
          <w:p w14:paraId="042BA4E8">
            <w:pPr>
              <w:topLinePunct/>
              <w:jc w:val="center"/>
              <w:rPr>
                <w:rFonts w:ascii="Times New Roman" w:hAnsi="Times New Roman" w:cs="Times New Roman"/>
                <w:color w:val="000000" w:themeColor="text1"/>
                <w:kern w:val="0"/>
              </w:rPr>
            </w:pPr>
            <w:r>
              <w:rPr>
                <w:rFonts w:hint="eastAsia"/>
                <w:color w:val="000000" w:themeColor="text1"/>
              </w:rPr>
              <w:t>姜延来</w:t>
            </w:r>
          </w:p>
        </w:tc>
      </w:tr>
      <w:tr w14:paraId="14A57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0D262269">
            <w:pPr>
              <w:topLinePunct/>
              <w:jc w:val="center"/>
              <w:rPr>
                <w:rFonts w:ascii="Times New Roman" w:hAnsi="Times New Roman" w:cs="Times New Roman"/>
                <w:color w:val="000000" w:themeColor="text1"/>
                <w:kern w:val="0"/>
              </w:rPr>
            </w:pPr>
          </w:p>
        </w:tc>
        <w:tc>
          <w:tcPr>
            <w:tcW w:w="1899" w:type="dxa"/>
            <w:gridSpan w:val="2"/>
            <w:vAlign w:val="center"/>
          </w:tcPr>
          <w:p w14:paraId="41D0A78D">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联系地址</w:t>
            </w:r>
          </w:p>
        </w:tc>
        <w:tc>
          <w:tcPr>
            <w:tcW w:w="2520" w:type="dxa"/>
            <w:gridSpan w:val="2"/>
            <w:vAlign w:val="center"/>
          </w:tcPr>
          <w:p w14:paraId="7E4B592C">
            <w:pPr>
              <w:topLinePunct/>
              <w:jc w:val="center"/>
              <w:rPr>
                <w:rFonts w:ascii="Times New Roman" w:hAnsi="Times New Roman" w:cs="Times New Roman"/>
                <w:color w:val="000000" w:themeColor="text1"/>
                <w:kern w:val="0"/>
              </w:rPr>
            </w:pPr>
            <w:r>
              <w:rPr>
                <w:rFonts w:hint="eastAsia" w:ascii="Times New Roman" w:hAnsi="Times New Roman" w:cs="Times New Roman"/>
                <w:color w:val="000000" w:themeColor="text1"/>
                <w:kern w:val="0"/>
              </w:rPr>
              <w:t>鸡东县永安镇内</w:t>
            </w:r>
          </w:p>
        </w:tc>
        <w:tc>
          <w:tcPr>
            <w:tcW w:w="1185" w:type="dxa"/>
            <w:vAlign w:val="center"/>
          </w:tcPr>
          <w:p w14:paraId="0102F450">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联系电话</w:t>
            </w:r>
          </w:p>
        </w:tc>
        <w:tc>
          <w:tcPr>
            <w:tcW w:w="2873" w:type="dxa"/>
            <w:gridSpan w:val="3"/>
            <w:vAlign w:val="center"/>
          </w:tcPr>
          <w:p w14:paraId="26852C8C">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15146181818</w:t>
            </w:r>
          </w:p>
        </w:tc>
      </w:tr>
      <w:tr w14:paraId="7D76A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1FE2B3F6">
            <w:pPr>
              <w:topLinePunct/>
              <w:jc w:val="center"/>
              <w:rPr>
                <w:rFonts w:ascii="Times New Roman" w:hAnsi="Times New Roman" w:cs="Times New Roman"/>
                <w:color w:val="000000" w:themeColor="text1"/>
                <w:kern w:val="0"/>
              </w:rPr>
            </w:pPr>
          </w:p>
        </w:tc>
        <w:tc>
          <w:tcPr>
            <w:tcW w:w="1899" w:type="dxa"/>
            <w:gridSpan w:val="2"/>
            <w:vAlign w:val="center"/>
          </w:tcPr>
          <w:p w14:paraId="2CA9B119">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采矿权证证号</w:t>
            </w:r>
          </w:p>
        </w:tc>
        <w:tc>
          <w:tcPr>
            <w:tcW w:w="2520" w:type="dxa"/>
            <w:gridSpan w:val="2"/>
            <w:vAlign w:val="center"/>
          </w:tcPr>
          <w:p w14:paraId="081EEA25">
            <w:pPr>
              <w:topLinePunct/>
              <w:jc w:val="center"/>
              <w:rPr>
                <w:rFonts w:ascii="Times New Roman" w:hAnsi="Times New Roman" w:cs="Times New Roman"/>
                <w:color w:val="000000" w:themeColor="text1"/>
                <w:kern w:val="0"/>
              </w:rPr>
            </w:pPr>
            <w:r>
              <w:rPr>
                <w:rFonts w:hint="eastAsia" w:ascii="Times New Roman" w:hAnsi="Times New Roman" w:cs="Times New Roman"/>
                <w:color w:val="000000" w:themeColor="text1"/>
                <w:kern w:val="0"/>
              </w:rPr>
              <w:t>C2303002011117120119849</w:t>
            </w:r>
          </w:p>
        </w:tc>
        <w:tc>
          <w:tcPr>
            <w:tcW w:w="1185" w:type="dxa"/>
            <w:vAlign w:val="center"/>
          </w:tcPr>
          <w:p w14:paraId="34FCD4A0">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开采方式</w:t>
            </w:r>
          </w:p>
        </w:tc>
        <w:tc>
          <w:tcPr>
            <w:tcW w:w="2873" w:type="dxa"/>
            <w:gridSpan w:val="3"/>
            <w:shd w:val="clear" w:color="auto" w:fill="auto"/>
            <w:vAlign w:val="center"/>
          </w:tcPr>
          <w:p w14:paraId="4C0515F0">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露天开采</w:t>
            </w:r>
          </w:p>
        </w:tc>
      </w:tr>
      <w:tr w14:paraId="680AB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7E1A708B">
            <w:pPr>
              <w:topLinePunct/>
              <w:jc w:val="center"/>
              <w:rPr>
                <w:rFonts w:ascii="Times New Roman" w:hAnsi="Times New Roman" w:cs="Times New Roman"/>
                <w:color w:val="000000" w:themeColor="text1"/>
                <w:kern w:val="0"/>
              </w:rPr>
            </w:pPr>
          </w:p>
        </w:tc>
        <w:tc>
          <w:tcPr>
            <w:tcW w:w="1899" w:type="dxa"/>
            <w:gridSpan w:val="2"/>
            <w:vAlign w:val="center"/>
          </w:tcPr>
          <w:p w14:paraId="76CAF37B">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采矿权面积</w:t>
            </w:r>
          </w:p>
        </w:tc>
        <w:tc>
          <w:tcPr>
            <w:tcW w:w="2520" w:type="dxa"/>
            <w:gridSpan w:val="2"/>
            <w:vAlign w:val="center"/>
          </w:tcPr>
          <w:p w14:paraId="00890895">
            <w:pPr>
              <w:topLinePunct/>
              <w:jc w:val="center"/>
              <w:rPr>
                <w:rFonts w:hint="eastAsia" w:ascii="Times New Roman" w:hAnsi="Times New Roman" w:eastAsia="宋体" w:cs="Times New Roman"/>
                <w:color w:val="000000" w:themeColor="text1"/>
                <w:kern w:val="0"/>
                <w:lang w:eastAsia="zh-CN"/>
              </w:rPr>
            </w:pPr>
            <w:r>
              <w:rPr>
                <w:rFonts w:ascii="Times New Roman" w:hAnsi="Times New Roman" w:cs="Times New Roman"/>
                <w:color w:val="000000" w:themeColor="text1"/>
                <w:kern w:val="0"/>
              </w:rPr>
              <w:t>0.</w:t>
            </w:r>
            <w:r>
              <w:rPr>
                <w:rFonts w:hint="eastAsia" w:ascii="Times New Roman" w:hAnsi="Times New Roman" w:cs="Times New Roman"/>
                <w:color w:val="000000" w:themeColor="text1"/>
                <w:kern w:val="0"/>
              </w:rPr>
              <w:t>1599</w:t>
            </w:r>
            <w:r>
              <w:rPr>
                <w:rFonts w:ascii="Times New Roman" w:hAnsi="Times New Roman" w:cs="Times New Roman"/>
                <w:color w:val="000000" w:themeColor="text1"/>
                <w:kern w:val="0"/>
              </w:rPr>
              <w:t>k</w:t>
            </w:r>
            <w:r>
              <w:rPr>
                <w:rFonts w:hint="eastAsia" w:ascii="Times New Roman" w:hAnsi="Times New Roman" w:cs="Times New Roman"/>
                <w:color w:val="000000" w:themeColor="text1"/>
                <w:kern w:val="0"/>
                <w:lang w:eastAsia="zh-CN"/>
              </w:rPr>
              <w:t>m</w:t>
            </w:r>
            <w:r>
              <w:rPr>
                <w:rFonts w:hint="eastAsia" w:ascii="Times New Roman" w:hAnsi="Times New Roman" w:cs="Times New Roman"/>
                <w:strike w:val="0"/>
                <w:dstrike w:val="0"/>
                <w:color w:val="000000" w:themeColor="text1"/>
                <w:kern w:val="0"/>
                <w:vertAlign w:val="superscript"/>
                <w:lang w:eastAsia="zh-CN"/>
              </w:rPr>
              <w:t>2</w:t>
            </w:r>
          </w:p>
        </w:tc>
        <w:tc>
          <w:tcPr>
            <w:tcW w:w="1185" w:type="dxa"/>
            <w:vAlign w:val="center"/>
          </w:tcPr>
          <w:p w14:paraId="7DF5D6C5">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采矿权拐点坐标</w:t>
            </w:r>
          </w:p>
        </w:tc>
        <w:tc>
          <w:tcPr>
            <w:tcW w:w="2873" w:type="dxa"/>
            <w:gridSpan w:val="3"/>
            <w:vAlign w:val="center"/>
          </w:tcPr>
          <w:p w14:paraId="52FC8F40">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1,5025035.39 ,44456230.82 </w:t>
            </w:r>
          </w:p>
          <w:p w14:paraId="0543B0BB">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2,5025066.17 ,44456333.76 </w:t>
            </w:r>
          </w:p>
          <w:p w14:paraId="105D675D">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3,5025068.26 ,44456485.16 </w:t>
            </w:r>
          </w:p>
          <w:p w14:paraId="0D97EE9A">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4,5024830.79 ,44456545.04 </w:t>
            </w:r>
          </w:p>
          <w:p w14:paraId="6847BD1D">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5,5024800.55 ,44456520.92 </w:t>
            </w:r>
          </w:p>
          <w:p w14:paraId="2FC575C4">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6,5024710.58 ,44456447.46 </w:t>
            </w:r>
          </w:p>
          <w:p w14:paraId="5D2955B9">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7,5024648.67 ,44456354.01 </w:t>
            </w:r>
          </w:p>
          <w:p w14:paraId="524E4016">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8,5024629.24 ,44456312.06 </w:t>
            </w:r>
          </w:p>
          <w:p w14:paraId="0125B9E4">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9,5024552.60 ,44456265.50 </w:t>
            </w:r>
          </w:p>
          <w:p w14:paraId="51AE3FC3">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10,5024554.20 ,44456195.54 </w:t>
            </w:r>
          </w:p>
          <w:p w14:paraId="6B0C8ED0">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11,5024576.29 ,44456126.51 </w:t>
            </w:r>
          </w:p>
          <w:p w14:paraId="2D40FC3B">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12,5024625.12 ,44456089.60 </w:t>
            </w:r>
          </w:p>
          <w:p w14:paraId="5AB5C38E">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13,5024670.49 ,44456085.95 </w:t>
            </w:r>
          </w:p>
          <w:p w14:paraId="1D3A9A15">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14,5024815.41 ,44456092.88 </w:t>
            </w:r>
          </w:p>
          <w:p w14:paraId="05939EDF">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15,5024866.34 ,44456139.88 </w:t>
            </w:r>
          </w:p>
          <w:p w14:paraId="5D3203D6">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16,5024913.94 ,44456203.01 </w:t>
            </w:r>
          </w:p>
          <w:p w14:paraId="023F2C4B">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 xml:space="preserve">17,5024988.50 ,44456210.35  </w:t>
            </w:r>
          </w:p>
        </w:tc>
      </w:tr>
      <w:tr w14:paraId="52BB7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2A62776D">
            <w:pPr>
              <w:topLinePunct/>
              <w:jc w:val="center"/>
              <w:rPr>
                <w:rFonts w:ascii="Times New Roman" w:hAnsi="Times New Roman" w:cs="Times New Roman"/>
                <w:color w:val="000000" w:themeColor="text1"/>
                <w:kern w:val="0"/>
              </w:rPr>
            </w:pPr>
          </w:p>
        </w:tc>
        <w:tc>
          <w:tcPr>
            <w:tcW w:w="1899" w:type="dxa"/>
            <w:gridSpan w:val="2"/>
            <w:vAlign w:val="center"/>
          </w:tcPr>
          <w:p w14:paraId="4E0E6798">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采矿权有效期限</w:t>
            </w:r>
          </w:p>
        </w:tc>
        <w:tc>
          <w:tcPr>
            <w:tcW w:w="6578" w:type="dxa"/>
            <w:gridSpan w:val="6"/>
            <w:vAlign w:val="center"/>
          </w:tcPr>
          <w:p w14:paraId="6D9C9544">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rPr>
              <w:t>2021年12月29日-2031年12月29日</w:t>
            </w:r>
          </w:p>
        </w:tc>
      </w:tr>
      <w:tr w14:paraId="7DB96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324398A5">
            <w:pPr>
              <w:topLinePunct/>
              <w:jc w:val="center"/>
              <w:rPr>
                <w:rFonts w:ascii="Times New Roman" w:hAnsi="Times New Roman" w:cs="Times New Roman"/>
                <w:color w:val="000000" w:themeColor="text1"/>
                <w:kern w:val="0"/>
              </w:rPr>
            </w:pPr>
          </w:p>
        </w:tc>
        <w:tc>
          <w:tcPr>
            <w:tcW w:w="1899" w:type="dxa"/>
            <w:gridSpan w:val="2"/>
            <w:vAlign w:val="center"/>
          </w:tcPr>
          <w:p w14:paraId="779E50ED">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开采主矿种</w:t>
            </w:r>
          </w:p>
        </w:tc>
        <w:tc>
          <w:tcPr>
            <w:tcW w:w="2520" w:type="dxa"/>
            <w:gridSpan w:val="2"/>
            <w:vAlign w:val="center"/>
          </w:tcPr>
          <w:p w14:paraId="11A7D92E">
            <w:pPr>
              <w:topLinePunct/>
              <w:jc w:val="center"/>
              <w:rPr>
                <w:rFonts w:ascii="Times New Roman" w:hAnsi="Times New Roman" w:cs="Times New Roman"/>
                <w:color w:val="000000" w:themeColor="text1"/>
                <w:kern w:val="0"/>
              </w:rPr>
            </w:pPr>
            <w:r>
              <w:rPr>
                <w:rFonts w:hint="eastAsia" w:ascii="Times New Roman" w:hAnsi="Times New Roman" w:cs="Times New Roman"/>
                <w:color w:val="000000" w:themeColor="text1"/>
              </w:rPr>
              <w:t>建筑用玄武岩</w:t>
            </w:r>
          </w:p>
        </w:tc>
        <w:tc>
          <w:tcPr>
            <w:tcW w:w="1185" w:type="dxa"/>
            <w:vAlign w:val="center"/>
          </w:tcPr>
          <w:p w14:paraId="03200613">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其他矿种</w:t>
            </w:r>
          </w:p>
        </w:tc>
        <w:tc>
          <w:tcPr>
            <w:tcW w:w="2873" w:type="dxa"/>
            <w:gridSpan w:val="3"/>
            <w:vAlign w:val="center"/>
          </w:tcPr>
          <w:p w14:paraId="04BF4ACB">
            <w:pPr>
              <w:topLinePunct/>
              <w:jc w:val="center"/>
              <w:rPr>
                <w:rFonts w:ascii="Times New Roman" w:hAnsi="Times New Roman" w:cs="Times New Roman"/>
                <w:color w:val="000000" w:themeColor="text1"/>
                <w:kern w:val="0"/>
              </w:rPr>
            </w:pPr>
          </w:p>
        </w:tc>
      </w:tr>
      <w:tr w14:paraId="0FFA8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683209DF">
            <w:pPr>
              <w:topLinePunct/>
              <w:jc w:val="center"/>
              <w:rPr>
                <w:rFonts w:ascii="Times New Roman" w:hAnsi="Times New Roman" w:cs="Times New Roman"/>
                <w:color w:val="000000" w:themeColor="text1"/>
                <w:kern w:val="0"/>
              </w:rPr>
            </w:pPr>
          </w:p>
        </w:tc>
        <w:tc>
          <w:tcPr>
            <w:tcW w:w="1899" w:type="dxa"/>
            <w:gridSpan w:val="2"/>
            <w:vAlign w:val="center"/>
          </w:tcPr>
          <w:p w14:paraId="0A9F8A3D">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方案编制情形</w:t>
            </w:r>
          </w:p>
        </w:tc>
        <w:tc>
          <w:tcPr>
            <w:tcW w:w="6578" w:type="dxa"/>
            <w:gridSpan w:val="6"/>
            <w:vAlign w:val="center"/>
          </w:tcPr>
          <w:p w14:paraId="0FF5A05A">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□首次申请采矿许可□扩大开采区域□缩小开采区域</w:t>
            </w:r>
          </w:p>
          <w:p w14:paraId="003B8775">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□变更开采方式□变更开采主矿种  □延续☑其他</w:t>
            </w:r>
          </w:p>
        </w:tc>
      </w:tr>
      <w:tr w14:paraId="4B0D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restart"/>
            <w:vAlign w:val="center"/>
          </w:tcPr>
          <w:p w14:paraId="574D7C94">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方案编制单位</w:t>
            </w:r>
          </w:p>
          <w:p w14:paraId="6B5007AB">
            <w:pPr>
              <w:topLinePunct/>
              <w:jc w:val="center"/>
              <w:rPr>
                <w:rFonts w:ascii="Times New Roman" w:hAnsi="Times New Roman" w:cs="Times New Roman"/>
                <w:color w:val="000000" w:themeColor="text1"/>
                <w:kern w:val="0"/>
              </w:rPr>
            </w:pPr>
          </w:p>
        </w:tc>
        <w:tc>
          <w:tcPr>
            <w:tcW w:w="1899" w:type="dxa"/>
            <w:gridSpan w:val="2"/>
            <w:vAlign w:val="center"/>
          </w:tcPr>
          <w:p w14:paraId="52492B1C">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单位名称（签章）</w:t>
            </w:r>
          </w:p>
        </w:tc>
        <w:tc>
          <w:tcPr>
            <w:tcW w:w="6578" w:type="dxa"/>
            <w:gridSpan w:val="6"/>
            <w:vAlign w:val="center"/>
          </w:tcPr>
          <w:p w14:paraId="697537F3">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黑龙江省庭川规划设计工程处</w:t>
            </w:r>
          </w:p>
        </w:tc>
      </w:tr>
      <w:tr w14:paraId="187F7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24EB82B2">
            <w:pPr>
              <w:topLinePunct/>
              <w:jc w:val="center"/>
              <w:rPr>
                <w:rFonts w:ascii="Times New Roman" w:hAnsi="Times New Roman" w:cs="Times New Roman"/>
                <w:color w:val="000000" w:themeColor="text1"/>
                <w:kern w:val="0"/>
              </w:rPr>
            </w:pPr>
          </w:p>
        </w:tc>
        <w:tc>
          <w:tcPr>
            <w:tcW w:w="1899" w:type="dxa"/>
            <w:gridSpan w:val="2"/>
            <w:vAlign w:val="center"/>
          </w:tcPr>
          <w:p w14:paraId="7E6677CB">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统一社会信用代码</w:t>
            </w:r>
          </w:p>
        </w:tc>
        <w:tc>
          <w:tcPr>
            <w:tcW w:w="2520" w:type="dxa"/>
            <w:gridSpan w:val="2"/>
            <w:vAlign w:val="center"/>
          </w:tcPr>
          <w:p w14:paraId="48D26BAB">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91230828MA1CG97Y4H</w:t>
            </w:r>
          </w:p>
        </w:tc>
        <w:tc>
          <w:tcPr>
            <w:tcW w:w="1185" w:type="dxa"/>
            <w:vAlign w:val="center"/>
          </w:tcPr>
          <w:p w14:paraId="65C24876">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联系人</w:t>
            </w:r>
          </w:p>
        </w:tc>
        <w:tc>
          <w:tcPr>
            <w:tcW w:w="2873" w:type="dxa"/>
            <w:gridSpan w:val="3"/>
            <w:vAlign w:val="center"/>
          </w:tcPr>
          <w:p w14:paraId="5E81D5F3">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孙彦泽</w:t>
            </w:r>
          </w:p>
        </w:tc>
      </w:tr>
      <w:tr w14:paraId="0E65D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31252146">
            <w:pPr>
              <w:topLinePunct/>
              <w:jc w:val="center"/>
              <w:rPr>
                <w:rFonts w:ascii="Times New Roman" w:hAnsi="Times New Roman" w:cs="Times New Roman"/>
                <w:color w:val="000000" w:themeColor="text1"/>
                <w:kern w:val="0"/>
              </w:rPr>
            </w:pPr>
          </w:p>
        </w:tc>
        <w:tc>
          <w:tcPr>
            <w:tcW w:w="1899" w:type="dxa"/>
            <w:gridSpan w:val="2"/>
            <w:vAlign w:val="center"/>
          </w:tcPr>
          <w:p w14:paraId="5A1887A9">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联系地址</w:t>
            </w:r>
          </w:p>
        </w:tc>
        <w:tc>
          <w:tcPr>
            <w:tcW w:w="2520" w:type="dxa"/>
            <w:gridSpan w:val="2"/>
            <w:vAlign w:val="center"/>
          </w:tcPr>
          <w:p w14:paraId="33EE4DF7">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黑龙江省佳木斯市汤原县汤原镇工业大厦胡同</w:t>
            </w:r>
          </w:p>
        </w:tc>
        <w:tc>
          <w:tcPr>
            <w:tcW w:w="1185" w:type="dxa"/>
            <w:vAlign w:val="center"/>
          </w:tcPr>
          <w:p w14:paraId="68905FFC">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联系电话</w:t>
            </w:r>
          </w:p>
        </w:tc>
        <w:tc>
          <w:tcPr>
            <w:tcW w:w="2873" w:type="dxa"/>
            <w:gridSpan w:val="3"/>
            <w:shd w:val="clear" w:color="auto" w:fill="auto"/>
            <w:vAlign w:val="center"/>
          </w:tcPr>
          <w:p w14:paraId="08A72A75">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15204612555</w:t>
            </w:r>
          </w:p>
        </w:tc>
      </w:tr>
      <w:tr w14:paraId="1D823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559882EA">
            <w:pPr>
              <w:topLinePunct/>
              <w:jc w:val="center"/>
              <w:rPr>
                <w:rFonts w:ascii="Times New Roman" w:hAnsi="Times New Roman" w:cs="Times New Roman"/>
                <w:color w:val="000000" w:themeColor="text1"/>
                <w:kern w:val="0"/>
              </w:rPr>
            </w:pPr>
          </w:p>
        </w:tc>
        <w:tc>
          <w:tcPr>
            <w:tcW w:w="8477" w:type="dxa"/>
            <w:gridSpan w:val="8"/>
            <w:vAlign w:val="center"/>
          </w:tcPr>
          <w:p w14:paraId="19434296">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编制负责人</w:t>
            </w:r>
          </w:p>
        </w:tc>
      </w:tr>
      <w:tr w14:paraId="1DD69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7F898596">
            <w:pPr>
              <w:topLinePunct/>
              <w:jc w:val="center"/>
              <w:rPr>
                <w:rFonts w:ascii="Times New Roman" w:hAnsi="Times New Roman" w:cs="Times New Roman"/>
                <w:color w:val="000000" w:themeColor="text1"/>
                <w:kern w:val="0"/>
              </w:rPr>
            </w:pPr>
          </w:p>
        </w:tc>
        <w:tc>
          <w:tcPr>
            <w:tcW w:w="1059" w:type="dxa"/>
            <w:shd w:val="clear" w:color="auto" w:fill="auto"/>
            <w:vAlign w:val="center"/>
          </w:tcPr>
          <w:p w14:paraId="36C46B77">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姓名</w:t>
            </w:r>
          </w:p>
        </w:tc>
        <w:tc>
          <w:tcPr>
            <w:tcW w:w="2062" w:type="dxa"/>
            <w:gridSpan w:val="2"/>
            <w:vAlign w:val="center"/>
          </w:tcPr>
          <w:p w14:paraId="3078AE72">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身份证号</w:t>
            </w:r>
          </w:p>
        </w:tc>
        <w:tc>
          <w:tcPr>
            <w:tcW w:w="1298" w:type="dxa"/>
            <w:vAlign w:val="center"/>
          </w:tcPr>
          <w:p w14:paraId="0B7FB722">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专业</w:t>
            </w:r>
          </w:p>
        </w:tc>
        <w:tc>
          <w:tcPr>
            <w:tcW w:w="1275" w:type="dxa"/>
            <w:gridSpan w:val="2"/>
            <w:vAlign w:val="center"/>
          </w:tcPr>
          <w:p w14:paraId="26AE8277">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职务/职称</w:t>
            </w:r>
          </w:p>
        </w:tc>
        <w:tc>
          <w:tcPr>
            <w:tcW w:w="1410" w:type="dxa"/>
            <w:vAlign w:val="center"/>
          </w:tcPr>
          <w:p w14:paraId="43AA51E5">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联系电话</w:t>
            </w:r>
          </w:p>
        </w:tc>
        <w:tc>
          <w:tcPr>
            <w:tcW w:w="1373" w:type="dxa"/>
            <w:vAlign w:val="center"/>
          </w:tcPr>
          <w:p w14:paraId="23C1B155">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签名</w:t>
            </w:r>
          </w:p>
        </w:tc>
      </w:tr>
      <w:tr w14:paraId="48C30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298EA894">
            <w:pPr>
              <w:topLinePunct/>
              <w:jc w:val="center"/>
              <w:rPr>
                <w:rFonts w:ascii="Times New Roman" w:hAnsi="Times New Roman" w:cs="Times New Roman"/>
                <w:color w:val="000000" w:themeColor="text1"/>
                <w:kern w:val="0"/>
              </w:rPr>
            </w:pPr>
          </w:p>
        </w:tc>
        <w:tc>
          <w:tcPr>
            <w:tcW w:w="1059" w:type="dxa"/>
            <w:vAlign w:val="center"/>
          </w:tcPr>
          <w:p w14:paraId="7DAE9803">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孙彦泽</w:t>
            </w:r>
          </w:p>
        </w:tc>
        <w:tc>
          <w:tcPr>
            <w:tcW w:w="2062" w:type="dxa"/>
            <w:gridSpan w:val="2"/>
            <w:vAlign w:val="center"/>
          </w:tcPr>
          <w:p w14:paraId="74320D1C">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230221198809260731</w:t>
            </w:r>
          </w:p>
        </w:tc>
        <w:tc>
          <w:tcPr>
            <w:tcW w:w="1298" w:type="dxa"/>
            <w:vAlign w:val="center"/>
          </w:tcPr>
          <w:p w14:paraId="047D5E12">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测绘工程</w:t>
            </w:r>
          </w:p>
        </w:tc>
        <w:tc>
          <w:tcPr>
            <w:tcW w:w="1275" w:type="dxa"/>
            <w:gridSpan w:val="2"/>
            <w:vAlign w:val="center"/>
          </w:tcPr>
          <w:p w14:paraId="6C82097B">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工程师</w:t>
            </w:r>
          </w:p>
        </w:tc>
        <w:tc>
          <w:tcPr>
            <w:tcW w:w="1410" w:type="dxa"/>
            <w:vAlign w:val="center"/>
          </w:tcPr>
          <w:p w14:paraId="78339ABE">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15204612555</w:t>
            </w:r>
          </w:p>
        </w:tc>
        <w:tc>
          <w:tcPr>
            <w:tcW w:w="1373" w:type="dxa"/>
            <w:vAlign w:val="center"/>
          </w:tcPr>
          <w:p w14:paraId="7735AEB8">
            <w:pPr>
              <w:topLinePunct/>
              <w:jc w:val="center"/>
              <w:rPr>
                <w:rFonts w:ascii="Times New Roman" w:hAnsi="Times New Roman" w:cs="Times New Roman"/>
                <w:color w:val="000000" w:themeColor="text1"/>
                <w:kern w:val="0"/>
              </w:rPr>
            </w:pPr>
          </w:p>
        </w:tc>
      </w:tr>
      <w:tr w14:paraId="5A58C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1B0F8C7F">
            <w:pPr>
              <w:topLinePunct/>
              <w:jc w:val="center"/>
              <w:rPr>
                <w:rFonts w:ascii="Times New Roman" w:hAnsi="Times New Roman" w:cs="Times New Roman"/>
                <w:color w:val="000000" w:themeColor="text1"/>
                <w:kern w:val="0"/>
              </w:rPr>
            </w:pPr>
          </w:p>
        </w:tc>
        <w:tc>
          <w:tcPr>
            <w:tcW w:w="8477" w:type="dxa"/>
            <w:gridSpan w:val="8"/>
            <w:vAlign w:val="center"/>
          </w:tcPr>
          <w:p w14:paraId="15053F58">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主要编制人员</w:t>
            </w:r>
          </w:p>
        </w:tc>
      </w:tr>
      <w:tr w14:paraId="1676B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74FDC365">
            <w:pPr>
              <w:topLinePunct/>
              <w:jc w:val="center"/>
              <w:rPr>
                <w:rFonts w:ascii="Times New Roman" w:hAnsi="Times New Roman" w:cs="Times New Roman"/>
                <w:color w:val="000000" w:themeColor="text1"/>
                <w:kern w:val="0"/>
              </w:rPr>
            </w:pPr>
          </w:p>
        </w:tc>
        <w:tc>
          <w:tcPr>
            <w:tcW w:w="1059" w:type="dxa"/>
            <w:vAlign w:val="center"/>
          </w:tcPr>
          <w:p w14:paraId="7CF384E8">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rPr>
              <w:t>李成吉</w:t>
            </w:r>
          </w:p>
        </w:tc>
        <w:tc>
          <w:tcPr>
            <w:tcW w:w="2062" w:type="dxa"/>
            <w:gridSpan w:val="2"/>
            <w:vAlign w:val="center"/>
          </w:tcPr>
          <w:p w14:paraId="6A206841">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230221199002240718</w:t>
            </w:r>
          </w:p>
        </w:tc>
        <w:tc>
          <w:tcPr>
            <w:tcW w:w="1298" w:type="dxa"/>
            <w:vAlign w:val="center"/>
          </w:tcPr>
          <w:p w14:paraId="127BF98F">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土地工程</w:t>
            </w:r>
          </w:p>
        </w:tc>
        <w:tc>
          <w:tcPr>
            <w:tcW w:w="1275" w:type="dxa"/>
            <w:gridSpan w:val="2"/>
            <w:vAlign w:val="center"/>
          </w:tcPr>
          <w:p w14:paraId="4C0A3055">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工程师</w:t>
            </w:r>
          </w:p>
        </w:tc>
        <w:tc>
          <w:tcPr>
            <w:tcW w:w="1410" w:type="dxa"/>
            <w:vAlign w:val="center"/>
          </w:tcPr>
          <w:p w14:paraId="1D68985D">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18249353535</w:t>
            </w:r>
          </w:p>
        </w:tc>
        <w:tc>
          <w:tcPr>
            <w:tcW w:w="1373" w:type="dxa"/>
            <w:vAlign w:val="center"/>
          </w:tcPr>
          <w:p w14:paraId="042066FB">
            <w:pPr>
              <w:topLinePunct/>
              <w:jc w:val="center"/>
              <w:rPr>
                <w:rFonts w:ascii="Times New Roman" w:hAnsi="Times New Roman" w:cs="Times New Roman"/>
                <w:color w:val="000000" w:themeColor="text1"/>
                <w:kern w:val="0"/>
              </w:rPr>
            </w:pPr>
          </w:p>
        </w:tc>
      </w:tr>
      <w:tr w14:paraId="78C9C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6E7DCEE0">
            <w:pPr>
              <w:topLinePunct/>
              <w:jc w:val="center"/>
              <w:rPr>
                <w:rFonts w:ascii="Times New Roman" w:hAnsi="Times New Roman" w:cs="Times New Roman"/>
                <w:color w:val="000000" w:themeColor="text1"/>
                <w:kern w:val="0"/>
              </w:rPr>
            </w:pPr>
          </w:p>
        </w:tc>
        <w:tc>
          <w:tcPr>
            <w:tcW w:w="1059" w:type="dxa"/>
            <w:vAlign w:val="center"/>
          </w:tcPr>
          <w:p w14:paraId="2ECE5998">
            <w:pPr>
              <w:topLinePunct/>
              <w:jc w:val="center"/>
              <w:rPr>
                <w:rFonts w:hint="default" w:ascii="Times New Roman" w:hAnsi="Times New Roman" w:cs="Times New Roman"/>
                <w:color w:val="000000" w:themeColor="text1"/>
                <w:kern w:val="0"/>
                <w:lang w:val="en-US" w:eastAsia="zh-CN"/>
              </w:rPr>
            </w:pPr>
            <w:r>
              <w:rPr>
                <w:rFonts w:hint="eastAsia" w:ascii="Times New Roman" w:hAnsi="Times New Roman" w:cs="Times New Roman"/>
                <w:color w:val="000000" w:themeColor="text1"/>
                <w:kern w:val="0"/>
                <w:lang w:val="en-US" w:eastAsia="zh-CN"/>
              </w:rPr>
              <w:t>马金利</w:t>
            </w:r>
          </w:p>
        </w:tc>
        <w:tc>
          <w:tcPr>
            <w:tcW w:w="2062" w:type="dxa"/>
            <w:gridSpan w:val="2"/>
            <w:vAlign w:val="center"/>
          </w:tcPr>
          <w:p w14:paraId="59CAC5AA">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230221198110260711</w:t>
            </w:r>
          </w:p>
        </w:tc>
        <w:tc>
          <w:tcPr>
            <w:tcW w:w="1298" w:type="dxa"/>
            <w:vAlign w:val="center"/>
          </w:tcPr>
          <w:p w14:paraId="792F4078">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土地规划</w:t>
            </w:r>
          </w:p>
        </w:tc>
        <w:tc>
          <w:tcPr>
            <w:tcW w:w="1275" w:type="dxa"/>
            <w:gridSpan w:val="2"/>
            <w:vAlign w:val="center"/>
          </w:tcPr>
          <w:p w14:paraId="26A216AD">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工程师</w:t>
            </w:r>
          </w:p>
        </w:tc>
        <w:tc>
          <w:tcPr>
            <w:tcW w:w="1410" w:type="dxa"/>
            <w:vAlign w:val="center"/>
          </w:tcPr>
          <w:p w14:paraId="4769DEC0">
            <w:pPr>
              <w:topLinePunct/>
              <w:jc w:val="center"/>
              <w:rPr>
                <w:rFonts w:hint="default" w:ascii="Times New Roman" w:hAnsi="Times New Roman" w:eastAsia="宋体" w:cs="Times New Roman"/>
                <w:color w:val="000000" w:themeColor="text1"/>
                <w:kern w:val="0"/>
                <w:lang w:val="en-US" w:eastAsia="zh-CN"/>
              </w:rPr>
            </w:pPr>
            <w:r>
              <w:rPr>
                <w:rFonts w:hint="eastAsia" w:ascii="Times New Roman" w:hAnsi="Times New Roman" w:cs="Times New Roman"/>
                <w:color w:val="000000" w:themeColor="text1"/>
                <w:kern w:val="0"/>
                <w:lang w:val="en-US" w:eastAsia="zh-CN"/>
              </w:rPr>
              <w:t>18249461577</w:t>
            </w:r>
          </w:p>
        </w:tc>
        <w:tc>
          <w:tcPr>
            <w:tcW w:w="1373" w:type="dxa"/>
            <w:vAlign w:val="center"/>
          </w:tcPr>
          <w:p w14:paraId="5D1035EE">
            <w:pPr>
              <w:topLinePunct/>
              <w:jc w:val="center"/>
              <w:rPr>
                <w:rFonts w:ascii="Times New Roman" w:hAnsi="Times New Roman" w:cs="Times New Roman"/>
                <w:color w:val="000000" w:themeColor="text1"/>
                <w:kern w:val="0"/>
              </w:rPr>
            </w:pPr>
          </w:p>
        </w:tc>
      </w:tr>
      <w:tr w14:paraId="3B58A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7" w:type="dxa"/>
            <w:vMerge w:val="continue"/>
            <w:vAlign w:val="center"/>
          </w:tcPr>
          <w:p w14:paraId="304C883A">
            <w:pPr>
              <w:topLinePunct/>
              <w:jc w:val="center"/>
              <w:rPr>
                <w:rFonts w:ascii="Times New Roman" w:hAnsi="Times New Roman" w:cs="Times New Roman"/>
                <w:color w:val="000000" w:themeColor="text1"/>
                <w:kern w:val="0"/>
              </w:rPr>
            </w:pPr>
          </w:p>
        </w:tc>
        <w:tc>
          <w:tcPr>
            <w:tcW w:w="1059" w:type="dxa"/>
            <w:vAlign w:val="center"/>
          </w:tcPr>
          <w:p w14:paraId="48C0C76B">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王莹</w:t>
            </w:r>
          </w:p>
        </w:tc>
        <w:tc>
          <w:tcPr>
            <w:tcW w:w="2062" w:type="dxa"/>
            <w:gridSpan w:val="2"/>
            <w:vAlign w:val="center"/>
          </w:tcPr>
          <w:p w14:paraId="14839773">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230105199005251329</w:t>
            </w:r>
          </w:p>
        </w:tc>
        <w:tc>
          <w:tcPr>
            <w:tcW w:w="1298" w:type="dxa"/>
            <w:vAlign w:val="center"/>
          </w:tcPr>
          <w:p w14:paraId="77ACD2EE">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土地工程</w:t>
            </w:r>
          </w:p>
        </w:tc>
        <w:tc>
          <w:tcPr>
            <w:tcW w:w="1275" w:type="dxa"/>
            <w:gridSpan w:val="2"/>
            <w:shd w:val="clear" w:color="auto" w:fill="auto"/>
            <w:vAlign w:val="center"/>
          </w:tcPr>
          <w:p w14:paraId="7846EC80">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工程师</w:t>
            </w:r>
          </w:p>
        </w:tc>
        <w:tc>
          <w:tcPr>
            <w:tcW w:w="1410" w:type="dxa"/>
            <w:vAlign w:val="center"/>
          </w:tcPr>
          <w:p w14:paraId="6DA35AB2">
            <w:pPr>
              <w:topLinePunct/>
              <w:jc w:val="center"/>
              <w:rPr>
                <w:rFonts w:ascii="Times New Roman" w:hAnsi="Times New Roman" w:cs="Times New Roman"/>
                <w:color w:val="000000" w:themeColor="text1"/>
                <w:kern w:val="0"/>
              </w:rPr>
            </w:pPr>
            <w:r>
              <w:rPr>
                <w:rFonts w:ascii="Times New Roman" w:hAnsi="Times New Roman" w:cs="Times New Roman"/>
                <w:color w:val="000000" w:themeColor="text1"/>
                <w:kern w:val="0"/>
              </w:rPr>
              <w:t>13314501113</w:t>
            </w:r>
          </w:p>
        </w:tc>
        <w:tc>
          <w:tcPr>
            <w:tcW w:w="1373" w:type="dxa"/>
            <w:vAlign w:val="center"/>
          </w:tcPr>
          <w:p w14:paraId="0EDEF11F">
            <w:pPr>
              <w:topLinePunct/>
              <w:jc w:val="center"/>
              <w:rPr>
                <w:rFonts w:ascii="Times New Roman" w:hAnsi="Times New Roman" w:cs="Times New Roman"/>
                <w:color w:val="000000" w:themeColor="text1"/>
                <w:kern w:val="0"/>
              </w:rPr>
            </w:pPr>
          </w:p>
        </w:tc>
      </w:tr>
    </w:tbl>
    <w:p w14:paraId="26A7A7C5">
      <w:pPr>
        <w:widowControl/>
        <w:topLinePunct/>
        <w:jc w:val="left"/>
        <w:rPr>
          <w:rFonts w:ascii="Times New Roman" w:hAnsi="Times New Roman" w:cs="Times New Roman"/>
          <w:color w:val="000000" w:themeColor="text1"/>
        </w:rPr>
        <w:sectPr>
          <w:footerReference r:id="rId5" w:type="default"/>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p>
    <w:p w14:paraId="3C0082F9">
      <w:pPr>
        <w:pStyle w:val="28"/>
        <w:tabs>
          <w:tab w:val="right" w:leader="dot" w:pos="9060"/>
        </w:tabs>
        <w:topLinePunct/>
        <w:jc w:val="center"/>
        <w:rPr>
          <w:rFonts w:ascii="Times New Roman" w:hAnsi="Times New Roman" w:eastAsia="黑体" w:cs="Times New Roman"/>
          <w:color w:val="000000" w:themeColor="text1"/>
          <w:sz w:val="32"/>
          <w:szCs w:val="32"/>
        </w:rPr>
      </w:pPr>
      <w:r>
        <w:rPr>
          <w:rFonts w:ascii="Times New Roman" w:hAnsi="Times New Roman" w:eastAsia="黑体" w:cs="Times New Roman"/>
          <w:color w:val="000000" w:themeColor="text1"/>
          <w:sz w:val="32"/>
          <w:szCs w:val="32"/>
        </w:rPr>
        <w:t>目录</w:t>
      </w:r>
    </w:p>
    <w:p w14:paraId="68E7EB41">
      <w:pPr>
        <w:pStyle w:val="28"/>
        <w:tabs>
          <w:tab w:val="right" w:leader="dot" w:pos="9070"/>
        </w:tabs>
        <w:rPr>
          <w:rFonts w:ascii="Times New Roman" w:hAnsi="Times New Roman" w:cs="Times New Roman"/>
          <w:bCs w:val="0"/>
          <w:color w:val="000000" w:themeColor="text1"/>
          <w:sz w:val="24"/>
          <w:szCs w:val="24"/>
        </w:rPr>
      </w:pP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TOC \o "1-2" \h \z \u </w:instrText>
      </w:r>
      <w:r>
        <w:rPr>
          <w:rFonts w:ascii="Times New Roman" w:hAnsi="Times New Roman" w:cs="Times New Roman"/>
          <w:b w:val="0"/>
          <w:color w:val="000000" w:themeColor="text1"/>
          <w:sz w:val="24"/>
          <w:szCs w:val="24"/>
        </w:rPr>
        <w:fldChar w:fldCharType="separate"/>
      </w:r>
      <w:r>
        <w:fldChar w:fldCharType="begin"/>
      </w:r>
      <w:r>
        <w:instrText xml:space="preserve"> HYPERLINK \l "_Toc10308" </w:instrText>
      </w:r>
      <w:r>
        <w:fldChar w:fldCharType="separate"/>
      </w:r>
      <w:r>
        <w:rPr>
          <w:rFonts w:ascii="Times New Roman" w:hAnsi="Times New Roman" w:cs="Times New Roman"/>
          <w:bCs w:val="0"/>
          <w:color w:val="000000" w:themeColor="text1"/>
          <w:sz w:val="24"/>
          <w:szCs w:val="24"/>
        </w:rPr>
        <w:t>前言</w:t>
      </w:r>
      <w:r>
        <w:rPr>
          <w:rFonts w:ascii="Times New Roman" w:hAnsi="Times New Roman" w:cs="Times New Roman"/>
          <w:bCs w:val="0"/>
          <w:color w:val="000000" w:themeColor="text1"/>
          <w:sz w:val="24"/>
          <w:szCs w:val="24"/>
        </w:rPr>
        <w:tab/>
      </w:r>
      <w:r>
        <w:rPr>
          <w:rFonts w:ascii="Times New Roman" w:hAnsi="Times New Roman" w:cs="Times New Roman"/>
          <w:bCs w:val="0"/>
          <w:color w:val="000000" w:themeColor="text1"/>
          <w:sz w:val="24"/>
          <w:szCs w:val="24"/>
        </w:rPr>
        <w:fldChar w:fldCharType="begin"/>
      </w:r>
      <w:r>
        <w:rPr>
          <w:rFonts w:ascii="Times New Roman" w:hAnsi="Times New Roman" w:cs="Times New Roman"/>
          <w:bCs w:val="0"/>
          <w:color w:val="000000" w:themeColor="text1"/>
          <w:sz w:val="24"/>
          <w:szCs w:val="24"/>
        </w:rPr>
        <w:instrText xml:space="preserve"> PAGEREF _Toc10308 \h </w:instrText>
      </w:r>
      <w:r>
        <w:rPr>
          <w:rFonts w:ascii="Times New Roman" w:hAnsi="Times New Roman" w:cs="Times New Roman"/>
          <w:bCs w:val="0"/>
          <w:color w:val="000000" w:themeColor="text1"/>
          <w:sz w:val="24"/>
          <w:szCs w:val="24"/>
        </w:rPr>
        <w:fldChar w:fldCharType="separate"/>
      </w:r>
      <w:r>
        <w:rPr>
          <w:rFonts w:ascii="Times New Roman" w:hAnsi="Times New Roman" w:cs="Times New Roman"/>
          <w:bCs w:val="0"/>
          <w:color w:val="000000" w:themeColor="text1"/>
          <w:sz w:val="24"/>
          <w:szCs w:val="24"/>
        </w:rPr>
        <w:t>1</w:t>
      </w:r>
      <w:r>
        <w:rPr>
          <w:rFonts w:ascii="Times New Roman" w:hAnsi="Times New Roman" w:cs="Times New Roman"/>
          <w:bCs w:val="0"/>
          <w:color w:val="000000" w:themeColor="text1"/>
          <w:sz w:val="24"/>
          <w:szCs w:val="24"/>
        </w:rPr>
        <w:fldChar w:fldCharType="end"/>
      </w:r>
      <w:r>
        <w:rPr>
          <w:rFonts w:ascii="Times New Roman" w:hAnsi="Times New Roman" w:cs="Times New Roman"/>
          <w:bCs w:val="0"/>
          <w:color w:val="000000" w:themeColor="text1"/>
          <w:sz w:val="24"/>
          <w:szCs w:val="24"/>
        </w:rPr>
        <w:fldChar w:fldCharType="end"/>
      </w:r>
    </w:p>
    <w:p w14:paraId="4612D1CA">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"_Toc12220" </w:instrText>
      </w:r>
      <w:r>
        <w:fldChar w:fldCharType="separate"/>
      </w:r>
      <w:r>
        <w:rPr>
          <w:rFonts w:ascii="Times New Roman" w:hAnsi="Times New Roman" w:cs="Times New Roman"/>
          <w:b w:val="0"/>
          <w:color w:val="000000" w:themeColor="text1"/>
          <w:sz w:val="24"/>
          <w:szCs w:val="24"/>
        </w:rPr>
        <w:t>一、编制目的</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_Toc12220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1</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74A0354B">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"_Toc1095" </w:instrText>
      </w:r>
      <w:r>
        <w:fldChar w:fldCharType="separate"/>
      </w:r>
      <w:r>
        <w:rPr>
          <w:rFonts w:ascii="Times New Roman" w:hAnsi="Times New Roman" w:cs="Times New Roman"/>
          <w:b w:val="0"/>
          <w:color w:val="000000" w:themeColor="text1"/>
          <w:sz w:val="24"/>
          <w:szCs w:val="24"/>
        </w:rPr>
        <w:t>二、服务年限</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_Toc1095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4</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667A53CB">
      <w:pPr>
        <w:pStyle w:val="28"/>
        <w:tabs>
          <w:tab w:val="right" w:leader="dot" w:pos="9070"/>
        </w:tabs>
        <w:rPr>
          <w:rFonts w:ascii="Times New Roman" w:hAnsi="Times New Roman" w:cs="Times New Roman"/>
          <w:bCs w:val="0"/>
          <w:color w:val="000000" w:themeColor="text1"/>
          <w:sz w:val="24"/>
          <w:szCs w:val="24"/>
        </w:rPr>
      </w:pPr>
      <w:r>
        <w:fldChar w:fldCharType="begin"/>
      </w:r>
      <w:r>
        <w:instrText xml:space="preserve"> HYPERLINK \l "_Toc14268" </w:instrText>
      </w:r>
      <w:r>
        <w:fldChar w:fldCharType="separate"/>
      </w:r>
      <w:r>
        <w:rPr>
          <w:rFonts w:ascii="Times New Roman" w:hAnsi="Times New Roman" w:cs="Times New Roman"/>
          <w:bCs w:val="0"/>
          <w:color w:val="000000" w:themeColor="text1"/>
          <w:sz w:val="24"/>
          <w:szCs w:val="24"/>
        </w:rPr>
        <w:t>第一章 矿山基本情况</w:t>
      </w:r>
      <w:r>
        <w:rPr>
          <w:rFonts w:ascii="Times New Roman" w:hAnsi="Times New Roman" w:cs="Times New Roman"/>
          <w:bCs w:val="0"/>
          <w:color w:val="000000" w:themeColor="text1"/>
          <w:sz w:val="24"/>
          <w:szCs w:val="24"/>
        </w:rPr>
        <w:tab/>
      </w:r>
      <w:r>
        <w:rPr>
          <w:rFonts w:ascii="Times New Roman" w:hAnsi="Times New Roman" w:cs="Times New Roman"/>
          <w:bCs w:val="0"/>
          <w:color w:val="000000" w:themeColor="text1"/>
          <w:sz w:val="24"/>
          <w:szCs w:val="24"/>
        </w:rPr>
        <w:fldChar w:fldCharType="begin"/>
      </w:r>
      <w:r>
        <w:rPr>
          <w:rFonts w:ascii="Times New Roman" w:hAnsi="Times New Roman" w:cs="Times New Roman"/>
          <w:bCs w:val="0"/>
          <w:color w:val="000000" w:themeColor="text1"/>
          <w:sz w:val="24"/>
          <w:szCs w:val="24"/>
        </w:rPr>
        <w:instrText xml:space="preserve"> PAGEREF _Toc14268 \h </w:instrText>
      </w:r>
      <w:r>
        <w:rPr>
          <w:rFonts w:ascii="Times New Roman" w:hAnsi="Times New Roman" w:cs="Times New Roman"/>
          <w:bCs w:val="0"/>
          <w:color w:val="000000" w:themeColor="text1"/>
          <w:sz w:val="24"/>
          <w:szCs w:val="24"/>
        </w:rPr>
        <w:fldChar w:fldCharType="separate"/>
      </w:r>
      <w:r>
        <w:rPr>
          <w:rFonts w:ascii="Times New Roman" w:hAnsi="Times New Roman" w:cs="Times New Roman"/>
          <w:bCs w:val="0"/>
          <w:color w:val="000000" w:themeColor="text1"/>
          <w:sz w:val="24"/>
          <w:szCs w:val="24"/>
        </w:rPr>
        <w:t>6</w:t>
      </w:r>
      <w:r>
        <w:rPr>
          <w:rFonts w:ascii="Times New Roman" w:hAnsi="Times New Roman" w:cs="Times New Roman"/>
          <w:bCs w:val="0"/>
          <w:color w:val="000000" w:themeColor="text1"/>
          <w:sz w:val="24"/>
          <w:szCs w:val="24"/>
        </w:rPr>
        <w:fldChar w:fldCharType="end"/>
      </w:r>
      <w:r>
        <w:rPr>
          <w:rFonts w:ascii="Times New Roman" w:hAnsi="Times New Roman" w:cs="Times New Roman"/>
          <w:bCs w:val="0"/>
          <w:color w:val="000000" w:themeColor="text1"/>
          <w:sz w:val="24"/>
          <w:szCs w:val="24"/>
        </w:rPr>
        <w:fldChar w:fldCharType="end"/>
      </w:r>
    </w:p>
    <w:p w14:paraId="54369915">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"_Toc29776" </w:instrText>
      </w:r>
      <w:r>
        <w:fldChar w:fldCharType="separate"/>
      </w:r>
      <w:r>
        <w:rPr>
          <w:rFonts w:ascii="Times New Roman" w:hAnsi="Times New Roman" w:cs="Times New Roman"/>
          <w:b w:val="0"/>
          <w:color w:val="000000" w:themeColor="text1"/>
          <w:sz w:val="24"/>
          <w:szCs w:val="24"/>
        </w:rPr>
        <w:t>一、矿业权人基本情况</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_Toc29776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6</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27FF9E8A">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"_Toc15150" </w:instrText>
      </w:r>
      <w:r>
        <w:fldChar w:fldCharType="separate"/>
      </w:r>
      <w:r>
        <w:rPr>
          <w:rFonts w:ascii="Times New Roman" w:hAnsi="Times New Roman" w:cs="Times New Roman"/>
          <w:b w:val="0"/>
          <w:color w:val="000000" w:themeColor="text1"/>
          <w:sz w:val="24"/>
          <w:szCs w:val="24"/>
        </w:rPr>
        <w:t>二、地理位置与区域概况</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_Toc15150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6</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4F636F5F">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"_Toc11377" </w:instrText>
      </w:r>
      <w:r>
        <w:fldChar w:fldCharType="separate"/>
      </w:r>
      <w:r>
        <w:rPr>
          <w:rFonts w:ascii="Times New Roman" w:hAnsi="Times New Roman" w:cs="Times New Roman"/>
          <w:b w:val="0"/>
          <w:color w:val="000000" w:themeColor="text1"/>
          <w:sz w:val="24"/>
          <w:szCs w:val="24"/>
        </w:rPr>
        <w:t>三、矿山开采历史及现状</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_Toc11377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8</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09092DD8">
      <w:pPr>
        <w:pStyle w:val="28"/>
        <w:tabs>
          <w:tab w:val="right" w:leader="dot" w:pos="9070"/>
        </w:tabs>
        <w:rPr>
          <w:rFonts w:ascii="Times New Roman" w:hAnsi="Times New Roman" w:cs="Times New Roman"/>
          <w:bCs w:val="0"/>
          <w:color w:val="000000" w:themeColor="text1"/>
          <w:sz w:val="24"/>
          <w:szCs w:val="24"/>
        </w:rPr>
      </w:pPr>
      <w:r>
        <w:fldChar w:fldCharType="begin"/>
      </w:r>
      <w:r>
        <w:instrText xml:space="preserve"> HYPERLINK \l "_Toc5117" </w:instrText>
      </w:r>
      <w:r>
        <w:fldChar w:fldCharType="separate"/>
      </w:r>
      <w:r>
        <w:rPr>
          <w:rFonts w:ascii="Times New Roman" w:hAnsi="Times New Roman" w:cs="Times New Roman"/>
          <w:bCs w:val="0"/>
          <w:color w:val="000000" w:themeColor="text1"/>
          <w:sz w:val="24"/>
          <w:szCs w:val="24"/>
        </w:rPr>
        <w:t>第二章 矿区基础信息</w:t>
      </w:r>
      <w:r>
        <w:rPr>
          <w:rFonts w:ascii="Times New Roman" w:hAnsi="Times New Roman" w:cs="Times New Roman"/>
          <w:bCs w:val="0"/>
          <w:color w:val="000000" w:themeColor="text1"/>
          <w:sz w:val="24"/>
          <w:szCs w:val="24"/>
        </w:rPr>
        <w:tab/>
      </w:r>
      <w:r>
        <w:rPr>
          <w:rFonts w:ascii="Times New Roman" w:hAnsi="Times New Roman" w:cs="Times New Roman"/>
          <w:bCs w:val="0"/>
          <w:color w:val="000000" w:themeColor="text1"/>
          <w:sz w:val="24"/>
          <w:szCs w:val="24"/>
        </w:rPr>
        <w:fldChar w:fldCharType="begin"/>
      </w:r>
      <w:r>
        <w:rPr>
          <w:rFonts w:ascii="Times New Roman" w:hAnsi="Times New Roman" w:cs="Times New Roman"/>
          <w:bCs w:val="0"/>
          <w:color w:val="000000" w:themeColor="text1"/>
          <w:sz w:val="24"/>
          <w:szCs w:val="24"/>
        </w:rPr>
        <w:instrText xml:space="preserve"> PAGEREF _Toc5117 \h </w:instrText>
      </w:r>
      <w:r>
        <w:rPr>
          <w:rFonts w:ascii="Times New Roman" w:hAnsi="Times New Roman" w:cs="Times New Roman"/>
          <w:bCs w:val="0"/>
          <w:color w:val="000000" w:themeColor="text1"/>
          <w:sz w:val="24"/>
          <w:szCs w:val="24"/>
        </w:rPr>
        <w:fldChar w:fldCharType="separate"/>
      </w:r>
      <w:r>
        <w:rPr>
          <w:rFonts w:ascii="Times New Roman" w:hAnsi="Times New Roman" w:cs="Times New Roman"/>
          <w:bCs w:val="0"/>
          <w:color w:val="000000" w:themeColor="text1"/>
          <w:sz w:val="24"/>
          <w:szCs w:val="24"/>
        </w:rPr>
        <w:t>17</w:t>
      </w:r>
      <w:r>
        <w:rPr>
          <w:rFonts w:ascii="Times New Roman" w:hAnsi="Times New Roman" w:cs="Times New Roman"/>
          <w:bCs w:val="0"/>
          <w:color w:val="000000" w:themeColor="text1"/>
          <w:sz w:val="24"/>
          <w:szCs w:val="24"/>
        </w:rPr>
        <w:fldChar w:fldCharType="end"/>
      </w:r>
      <w:r>
        <w:rPr>
          <w:rFonts w:ascii="Times New Roman" w:hAnsi="Times New Roman" w:cs="Times New Roman"/>
          <w:bCs w:val="0"/>
          <w:color w:val="000000" w:themeColor="text1"/>
          <w:sz w:val="24"/>
          <w:szCs w:val="24"/>
        </w:rPr>
        <w:fldChar w:fldCharType="end"/>
      </w:r>
    </w:p>
    <w:p w14:paraId="0962F23E">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"_Toc17548" </w:instrText>
      </w:r>
      <w:r>
        <w:fldChar w:fldCharType="separate"/>
      </w:r>
      <w:r>
        <w:rPr>
          <w:rFonts w:ascii="Times New Roman" w:hAnsi="Times New Roman" w:cs="Times New Roman"/>
          <w:b w:val="0"/>
          <w:color w:val="000000" w:themeColor="text1"/>
          <w:sz w:val="24"/>
          <w:szCs w:val="24"/>
        </w:rPr>
        <w:t>一、矿区自然条件</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_Toc17548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17</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719B5FD0">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"_Toc29114" </w:instrText>
      </w:r>
      <w:r>
        <w:fldChar w:fldCharType="separate"/>
      </w:r>
      <w:r>
        <w:rPr>
          <w:rFonts w:ascii="Times New Roman" w:hAnsi="Times New Roman" w:cs="Times New Roman"/>
          <w:b w:val="0"/>
          <w:color w:val="000000" w:themeColor="text1"/>
          <w:sz w:val="24"/>
          <w:szCs w:val="24"/>
        </w:rPr>
        <w:t>二、社会经济概况</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_Toc29114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22</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5C73D415">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"_Toc4180" </w:instrText>
      </w:r>
      <w:r>
        <w:fldChar w:fldCharType="separate"/>
      </w:r>
      <w:r>
        <w:rPr>
          <w:rFonts w:ascii="Times New Roman" w:hAnsi="Times New Roman" w:cs="Times New Roman"/>
          <w:b w:val="0"/>
          <w:color w:val="000000" w:themeColor="text1"/>
          <w:sz w:val="24"/>
          <w:szCs w:val="24"/>
        </w:rPr>
        <w:t>三、矿区地质环境背景</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_Toc4180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23</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553E814F">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"_Toc23046" </w:instrText>
      </w:r>
      <w:r>
        <w:fldChar w:fldCharType="separate"/>
      </w:r>
      <w:r>
        <w:rPr>
          <w:rFonts w:ascii="Times New Roman" w:hAnsi="Times New Roman" w:cs="Times New Roman"/>
          <w:b w:val="0"/>
          <w:color w:val="000000" w:themeColor="text1"/>
          <w:sz w:val="24"/>
          <w:szCs w:val="24"/>
        </w:rPr>
        <w:t>四、矿区土地利用现状及采矿用地审批情况</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_Toc23046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26</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6CF64888">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"_Toc1182" </w:instrText>
      </w:r>
      <w:r>
        <w:fldChar w:fldCharType="separate"/>
      </w:r>
      <w:r>
        <w:rPr>
          <w:rFonts w:ascii="Times New Roman" w:hAnsi="Times New Roman" w:cs="Times New Roman"/>
          <w:b w:val="0"/>
          <w:color w:val="000000" w:themeColor="text1"/>
          <w:sz w:val="24"/>
          <w:szCs w:val="24"/>
        </w:rPr>
        <w:t>五、矿区生态状况</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_Toc1182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27</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3899D4A6">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"_Toc17722" </w:instrText>
      </w:r>
      <w:r>
        <w:fldChar w:fldCharType="separate"/>
      </w:r>
      <w:r>
        <w:rPr>
          <w:rFonts w:ascii="Times New Roman" w:hAnsi="Times New Roman" w:cs="Times New Roman"/>
          <w:b w:val="0"/>
          <w:color w:val="000000" w:themeColor="text1"/>
          <w:sz w:val="24"/>
          <w:szCs w:val="24"/>
        </w:rPr>
        <w:t>六、矿区及周边人类重大工程活动</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_Toc17722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29</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44338AF7">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"_Toc31726" </w:instrText>
      </w:r>
      <w:r>
        <w:fldChar w:fldCharType="separate"/>
      </w:r>
      <w:r>
        <w:rPr>
          <w:rFonts w:ascii="Times New Roman" w:hAnsi="Times New Roman" w:cs="Times New Roman"/>
          <w:b w:val="0"/>
          <w:color w:val="000000" w:themeColor="text1"/>
          <w:sz w:val="24"/>
          <w:szCs w:val="24"/>
        </w:rPr>
        <w:t>七、矿区生态修复工作情况</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_Toc31726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29</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621D3BC1">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"_Toc299" </w:instrText>
      </w:r>
      <w:r>
        <w:fldChar w:fldCharType="separate"/>
      </w:r>
      <w:r>
        <w:rPr>
          <w:rFonts w:ascii="Times New Roman" w:hAnsi="Times New Roman" w:cs="Times New Roman"/>
          <w:b w:val="0"/>
          <w:color w:val="000000" w:themeColor="text1"/>
          <w:sz w:val="24"/>
          <w:szCs w:val="24"/>
        </w:rPr>
        <w:t>八、矿区基本情况调查指标</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_Toc299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30</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6389715D">
      <w:pPr>
        <w:pStyle w:val="28"/>
        <w:tabs>
          <w:tab w:val="right" w:leader="dot" w:pos="9070"/>
        </w:tabs>
        <w:rPr>
          <w:rFonts w:ascii="Times New Roman" w:hAnsi="Times New Roman" w:cs="Times New Roman"/>
          <w:bCs w:val="0"/>
          <w:color w:val="000000" w:themeColor="text1"/>
          <w:sz w:val="24"/>
          <w:szCs w:val="24"/>
        </w:rPr>
      </w:pPr>
      <w:r>
        <w:fldChar w:fldCharType="begin"/>
      </w:r>
      <w:r>
        <w:instrText xml:space="preserve"> HYPERLINK \l "_Toc31898" </w:instrText>
      </w:r>
      <w:r>
        <w:fldChar w:fldCharType="separate"/>
      </w:r>
      <w:r>
        <w:rPr>
          <w:rFonts w:ascii="Times New Roman" w:hAnsi="Times New Roman" w:cs="Times New Roman"/>
          <w:bCs w:val="0"/>
          <w:color w:val="000000" w:themeColor="text1"/>
          <w:sz w:val="24"/>
          <w:szCs w:val="24"/>
        </w:rPr>
        <w:t>第三章 问题识别诊断及修复可行性分析</w:t>
      </w:r>
      <w:r>
        <w:rPr>
          <w:rFonts w:ascii="Times New Roman" w:hAnsi="Times New Roman" w:cs="Times New Roman"/>
          <w:bCs w:val="0"/>
          <w:color w:val="000000" w:themeColor="text1"/>
          <w:sz w:val="24"/>
          <w:szCs w:val="24"/>
        </w:rPr>
        <w:tab/>
      </w:r>
      <w:r>
        <w:rPr>
          <w:rFonts w:ascii="Times New Roman" w:hAnsi="Times New Roman" w:cs="Times New Roman"/>
          <w:bCs w:val="0"/>
          <w:color w:val="000000" w:themeColor="text1"/>
          <w:sz w:val="24"/>
          <w:szCs w:val="24"/>
        </w:rPr>
        <w:fldChar w:fldCharType="begin"/>
      </w:r>
      <w:r>
        <w:rPr>
          <w:rFonts w:ascii="Times New Roman" w:hAnsi="Times New Roman" w:cs="Times New Roman"/>
          <w:bCs w:val="0"/>
          <w:color w:val="000000" w:themeColor="text1"/>
          <w:sz w:val="24"/>
          <w:szCs w:val="24"/>
        </w:rPr>
        <w:instrText xml:space="preserve"> PAGEREF _Toc31898 \h </w:instrText>
      </w:r>
      <w:r>
        <w:rPr>
          <w:rFonts w:ascii="Times New Roman" w:hAnsi="Times New Roman" w:cs="Times New Roman"/>
          <w:bCs w:val="0"/>
          <w:color w:val="000000" w:themeColor="text1"/>
          <w:sz w:val="24"/>
          <w:szCs w:val="24"/>
        </w:rPr>
        <w:fldChar w:fldCharType="separate"/>
      </w:r>
      <w:r>
        <w:rPr>
          <w:rFonts w:ascii="Times New Roman" w:hAnsi="Times New Roman" w:cs="Times New Roman"/>
          <w:bCs w:val="0"/>
          <w:color w:val="000000" w:themeColor="text1"/>
          <w:sz w:val="24"/>
          <w:szCs w:val="24"/>
        </w:rPr>
        <w:t>32</w:t>
      </w:r>
      <w:r>
        <w:rPr>
          <w:rFonts w:ascii="Times New Roman" w:hAnsi="Times New Roman" w:cs="Times New Roman"/>
          <w:bCs w:val="0"/>
          <w:color w:val="000000" w:themeColor="text1"/>
          <w:sz w:val="24"/>
          <w:szCs w:val="24"/>
        </w:rPr>
        <w:fldChar w:fldCharType="end"/>
      </w:r>
      <w:r>
        <w:rPr>
          <w:rFonts w:ascii="Times New Roman" w:hAnsi="Times New Roman" w:cs="Times New Roman"/>
          <w:bCs w:val="0"/>
          <w:color w:val="000000" w:themeColor="text1"/>
          <w:sz w:val="24"/>
          <w:szCs w:val="24"/>
        </w:rPr>
        <w:fldChar w:fldCharType="end"/>
      </w:r>
    </w:p>
    <w:p w14:paraId="291367F0">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"_Toc4933" </w:instrText>
      </w:r>
      <w:r>
        <w:fldChar w:fldCharType="separate"/>
      </w:r>
      <w:r>
        <w:rPr>
          <w:rFonts w:ascii="Times New Roman" w:hAnsi="Times New Roman" w:cs="Times New Roman"/>
          <w:b w:val="0"/>
          <w:color w:val="000000" w:themeColor="text1"/>
          <w:sz w:val="24"/>
          <w:szCs w:val="24"/>
        </w:rPr>
        <w:t>一、问题识别与受损预测</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_Toc4933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32</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4F876A5C">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"_Toc29963" </w:instrText>
      </w:r>
      <w:r>
        <w:fldChar w:fldCharType="separate"/>
      </w:r>
      <w:r>
        <w:rPr>
          <w:rFonts w:ascii="Times New Roman" w:hAnsi="Times New Roman" w:cs="Times New Roman"/>
          <w:b w:val="0"/>
          <w:color w:val="000000" w:themeColor="text1"/>
          <w:sz w:val="24"/>
          <w:szCs w:val="24"/>
        </w:rPr>
        <w:t>二、生态修复可行性分析</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_Toc29963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54</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78F24E57">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"_Toc23637" </w:instrText>
      </w:r>
      <w:r>
        <w:fldChar w:fldCharType="separate"/>
      </w:r>
      <w:r>
        <w:rPr>
          <w:rFonts w:ascii="Times New Roman" w:hAnsi="Times New Roman" w:cs="Times New Roman"/>
          <w:b w:val="0"/>
          <w:color w:val="000000" w:themeColor="text1"/>
          <w:sz w:val="24"/>
          <w:szCs w:val="24"/>
        </w:rPr>
        <w:t>三、生态修复分区及修复时序安排</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_Toc23637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63</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2F313FA4">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"_Toc18132" </w:instrText>
      </w:r>
      <w:r>
        <w:fldChar w:fldCharType="separate"/>
      </w:r>
      <w:r>
        <w:rPr>
          <w:rFonts w:ascii="Times New Roman" w:hAnsi="Times New Roman" w:cs="Times New Roman"/>
          <w:b w:val="0"/>
          <w:color w:val="000000" w:themeColor="text1"/>
          <w:sz w:val="24"/>
          <w:szCs w:val="24"/>
        </w:rPr>
        <w:t>四、采矿用地与复垦修复安排</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_Toc18132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67</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0A65E671">
      <w:pPr>
        <w:pStyle w:val="28"/>
        <w:tabs>
          <w:tab w:val="right" w:leader="dot" w:pos="9070"/>
        </w:tabs>
        <w:rPr>
          <w:rFonts w:ascii="Times New Roman" w:hAnsi="Times New Roman" w:cs="Times New Roman"/>
          <w:bCs w:val="0"/>
          <w:color w:val="000000" w:themeColor="text1"/>
          <w:sz w:val="24"/>
          <w:szCs w:val="24"/>
        </w:rPr>
      </w:pPr>
      <w:r>
        <w:fldChar w:fldCharType="begin"/>
      </w:r>
      <w:r>
        <w:instrText xml:space="preserve"> HYPERLINK \l "_Toc5041" </w:instrText>
      </w:r>
      <w:r>
        <w:fldChar w:fldCharType="separate"/>
      </w:r>
      <w:r>
        <w:rPr>
          <w:rFonts w:ascii="Times New Roman" w:hAnsi="Times New Roman" w:cs="Times New Roman"/>
          <w:bCs w:val="0"/>
          <w:color w:val="000000" w:themeColor="text1"/>
          <w:sz w:val="24"/>
          <w:szCs w:val="24"/>
        </w:rPr>
        <w:t>第四章 生态修复措施与工程内容</w:t>
      </w:r>
      <w:r>
        <w:rPr>
          <w:rFonts w:ascii="Times New Roman" w:hAnsi="Times New Roman" w:cs="Times New Roman"/>
          <w:bCs w:val="0"/>
          <w:color w:val="000000" w:themeColor="text1"/>
          <w:sz w:val="24"/>
          <w:szCs w:val="24"/>
        </w:rPr>
        <w:tab/>
      </w:r>
      <w:r>
        <w:rPr>
          <w:rFonts w:ascii="Times New Roman" w:hAnsi="Times New Roman" w:cs="Times New Roman"/>
          <w:bCs w:val="0"/>
          <w:color w:val="000000" w:themeColor="text1"/>
          <w:sz w:val="24"/>
          <w:szCs w:val="24"/>
        </w:rPr>
        <w:fldChar w:fldCharType="begin"/>
      </w:r>
      <w:r>
        <w:rPr>
          <w:rFonts w:ascii="Times New Roman" w:hAnsi="Times New Roman" w:cs="Times New Roman"/>
          <w:bCs w:val="0"/>
          <w:color w:val="000000" w:themeColor="text1"/>
          <w:sz w:val="24"/>
          <w:szCs w:val="24"/>
        </w:rPr>
        <w:instrText xml:space="preserve"> PAGEREF _Toc5041 \h </w:instrText>
      </w:r>
      <w:r>
        <w:rPr>
          <w:rFonts w:ascii="Times New Roman" w:hAnsi="Times New Roman" w:cs="Times New Roman"/>
          <w:bCs w:val="0"/>
          <w:color w:val="000000" w:themeColor="text1"/>
          <w:sz w:val="24"/>
          <w:szCs w:val="24"/>
        </w:rPr>
        <w:fldChar w:fldCharType="separate"/>
      </w:r>
      <w:r>
        <w:rPr>
          <w:rFonts w:ascii="Times New Roman" w:hAnsi="Times New Roman" w:cs="Times New Roman"/>
          <w:bCs w:val="0"/>
          <w:color w:val="000000" w:themeColor="text1"/>
          <w:sz w:val="24"/>
          <w:szCs w:val="24"/>
        </w:rPr>
        <w:t>71</w:t>
      </w:r>
      <w:r>
        <w:rPr>
          <w:rFonts w:ascii="Times New Roman" w:hAnsi="Times New Roman" w:cs="Times New Roman"/>
          <w:bCs w:val="0"/>
          <w:color w:val="000000" w:themeColor="text1"/>
          <w:sz w:val="24"/>
          <w:szCs w:val="24"/>
        </w:rPr>
        <w:fldChar w:fldCharType="end"/>
      </w:r>
      <w:r>
        <w:rPr>
          <w:rFonts w:ascii="Times New Roman" w:hAnsi="Times New Roman" w:cs="Times New Roman"/>
          <w:bCs w:val="0"/>
          <w:color w:val="000000" w:themeColor="text1"/>
          <w:sz w:val="24"/>
          <w:szCs w:val="24"/>
        </w:rPr>
        <w:fldChar w:fldCharType="end"/>
      </w:r>
    </w:p>
    <w:p w14:paraId="08F05605">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"_Toc32700" </w:instrText>
      </w:r>
      <w:r>
        <w:fldChar w:fldCharType="separate"/>
      </w:r>
      <w:r>
        <w:rPr>
          <w:rFonts w:ascii="Times New Roman" w:hAnsi="Times New Roman" w:cs="Times New Roman"/>
          <w:b w:val="0"/>
          <w:color w:val="000000" w:themeColor="text1"/>
          <w:sz w:val="24"/>
          <w:szCs w:val="24"/>
        </w:rPr>
        <w:t>一、保护与预防控制措施</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_Toc32700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71</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1ACC8F52">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"_Toc7335" </w:instrText>
      </w:r>
      <w:r>
        <w:fldChar w:fldCharType="separate"/>
      </w:r>
      <w:r>
        <w:rPr>
          <w:rFonts w:ascii="Times New Roman" w:hAnsi="Times New Roman" w:cs="Times New Roman"/>
          <w:b w:val="0"/>
          <w:color w:val="000000" w:themeColor="text1"/>
          <w:sz w:val="24"/>
          <w:szCs w:val="24"/>
        </w:rPr>
        <w:t>二、修复措施</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_Toc7335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73</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5385F711">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"_Toc22515" </w:instrText>
      </w:r>
      <w:r>
        <w:fldChar w:fldCharType="separate"/>
      </w:r>
      <w:r>
        <w:rPr>
          <w:rFonts w:ascii="Times New Roman" w:hAnsi="Times New Roman" w:cs="Times New Roman"/>
          <w:b w:val="0"/>
          <w:color w:val="000000" w:themeColor="text1"/>
          <w:sz w:val="24"/>
          <w:szCs w:val="24"/>
        </w:rPr>
        <w:t>三、工程内容</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_Toc22515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77</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4521A80D">
      <w:pPr>
        <w:pStyle w:val="28"/>
        <w:tabs>
          <w:tab w:val="right" w:leader="dot" w:pos="9070"/>
        </w:tabs>
        <w:rPr>
          <w:rFonts w:ascii="Times New Roman" w:hAnsi="Times New Roman" w:cs="Times New Roman"/>
          <w:bCs w:val="0"/>
          <w:color w:val="000000" w:themeColor="text1"/>
          <w:sz w:val="24"/>
          <w:szCs w:val="24"/>
        </w:rPr>
      </w:pPr>
      <w:r>
        <w:fldChar w:fldCharType="begin"/>
      </w:r>
      <w:r>
        <w:instrText xml:space="preserve"> HYPERLINK \l "_Toc4182" </w:instrText>
      </w:r>
      <w:r>
        <w:fldChar w:fldCharType="separate"/>
      </w:r>
      <w:r>
        <w:rPr>
          <w:rFonts w:ascii="Times New Roman" w:hAnsi="Times New Roman" w:cs="Times New Roman"/>
          <w:bCs w:val="0"/>
          <w:color w:val="000000" w:themeColor="text1"/>
          <w:sz w:val="24"/>
          <w:szCs w:val="24"/>
        </w:rPr>
        <w:t>第五章 监测与管护</w:t>
      </w:r>
      <w:r>
        <w:rPr>
          <w:rFonts w:ascii="Times New Roman" w:hAnsi="Times New Roman" w:cs="Times New Roman"/>
          <w:bCs w:val="0"/>
          <w:color w:val="000000" w:themeColor="text1"/>
          <w:sz w:val="24"/>
          <w:szCs w:val="24"/>
        </w:rPr>
        <w:tab/>
      </w:r>
      <w:r>
        <w:rPr>
          <w:rFonts w:ascii="Times New Roman" w:hAnsi="Times New Roman" w:cs="Times New Roman"/>
          <w:bCs w:val="0"/>
          <w:color w:val="000000" w:themeColor="text1"/>
          <w:sz w:val="24"/>
          <w:szCs w:val="24"/>
        </w:rPr>
        <w:fldChar w:fldCharType="begin"/>
      </w:r>
      <w:r>
        <w:rPr>
          <w:rFonts w:ascii="Times New Roman" w:hAnsi="Times New Roman" w:cs="Times New Roman"/>
          <w:bCs w:val="0"/>
          <w:color w:val="000000" w:themeColor="text1"/>
          <w:sz w:val="24"/>
          <w:szCs w:val="24"/>
        </w:rPr>
        <w:instrText xml:space="preserve"> PAGEREF _Toc4182 \h </w:instrText>
      </w:r>
      <w:r>
        <w:rPr>
          <w:rFonts w:ascii="Times New Roman" w:hAnsi="Times New Roman" w:cs="Times New Roman"/>
          <w:bCs w:val="0"/>
          <w:color w:val="000000" w:themeColor="text1"/>
          <w:sz w:val="24"/>
          <w:szCs w:val="24"/>
        </w:rPr>
        <w:fldChar w:fldCharType="separate"/>
      </w:r>
      <w:r>
        <w:rPr>
          <w:rFonts w:ascii="Times New Roman" w:hAnsi="Times New Roman" w:cs="Times New Roman"/>
          <w:bCs w:val="0"/>
          <w:color w:val="000000" w:themeColor="text1"/>
          <w:sz w:val="24"/>
          <w:szCs w:val="24"/>
        </w:rPr>
        <w:t>82</w:t>
      </w:r>
      <w:r>
        <w:rPr>
          <w:rFonts w:ascii="Times New Roman" w:hAnsi="Times New Roman" w:cs="Times New Roman"/>
          <w:bCs w:val="0"/>
          <w:color w:val="000000" w:themeColor="text1"/>
          <w:sz w:val="24"/>
          <w:szCs w:val="24"/>
        </w:rPr>
        <w:fldChar w:fldCharType="end"/>
      </w:r>
      <w:r>
        <w:rPr>
          <w:rFonts w:ascii="Times New Roman" w:hAnsi="Times New Roman" w:cs="Times New Roman"/>
          <w:bCs w:val="0"/>
          <w:color w:val="000000" w:themeColor="text1"/>
          <w:sz w:val="24"/>
          <w:szCs w:val="24"/>
        </w:rPr>
        <w:fldChar w:fldCharType="end"/>
      </w:r>
    </w:p>
    <w:p w14:paraId="0FB62836">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"_Toc1797" </w:instrText>
      </w:r>
      <w:r>
        <w:fldChar w:fldCharType="separate"/>
      </w:r>
      <w:r>
        <w:rPr>
          <w:rFonts w:ascii="Times New Roman" w:hAnsi="Times New Roman" w:cs="Times New Roman"/>
          <w:b w:val="0"/>
          <w:color w:val="000000" w:themeColor="text1"/>
          <w:sz w:val="24"/>
          <w:szCs w:val="24"/>
        </w:rPr>
        <w:t>一、监测目标与措施</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_Toc1797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82</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5BE56A88">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"_Toc26465" </w:instrText>
      </w:r>
      <w:r>
        <w:fldChar w:fldCharType="separate"/>
      </w:r>
      <w:r>
        <w:rPr>
          <w:rFonts w:ascii="Times New Roman" w:hAnsi="Times New Roman" w:cs="Times New Roman"/>
          <w:b w:val="0"/>
          <w:color w:val="000000" w:themeColor="text1"/>
          <w:sz w:val="24"/>
          <w:szCs w:val="24"/>
        </w:rPr>
        <w:t>二、管护目标与措施</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_Toc26465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86</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6BC3E139">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"_Toc19783" </w:instrText>
      </w:r>
      <w:r>
        <w:fldChar w:fldCharType="separate"/>
      </w:r>
      <w:r>
        <w:rPr>
          <w:rFonts w:ascii="Times New Roman" w:hAnsi="Times New Roman" w:cs="Times New Roman"/>
          <w:b w:val="0"/>
          <w:color w:val="000000" w:themeColor="text1"/>
          <w:sz w:val="24"/>
          <w:szCs w:val="24"/>
        </w:rPr>
        <w:t>三、工程量</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_Toc19783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88</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2DB7381A">
      <w:pPr>
        <w:pStyle w:val="28"/>
        <w:tabs>
          <w:tab w:val="right" w:leader="dot" w:pos="9070"/>
        </w:tabs>
        <w:rPr>
          <w:rFonts w:ascii="Times New Roman" w:hAnsi="Times New Roman" w:cs="Times New Roman"/>
          <w:bCs w:val="0"/>
          <w:color w:val="000000" w:themeColor="text1"/>
          <w:sz w:val="24"/>
          <w:szCs w:val="24"/>
        </w:rPr>
      </w:pPr>
      <w:r>
        <w:fldChar w:fldCharType="begin"/>
      </w:r>
      <w:r>
        <w:instrText xml:space="preserve"> HYPERLINK \l "_Toc18965" </w:instrText>
      </w:r>
      <w:r>
        <w:fldChar w:fldCharType="separate"/>
      </w:r>
      <w:r>
        <w:rPr>
          <w:rFonts w:ascii="Times New Roman" w:hAnsi="Times New Roman" w:cs="Times New Roman"/>
          <w:bCs w:val="0"/>
          <w:color w:val="000000" w:themeColor="text1"/>
          <w:sz w:val="24"/>
          <w:szCs w:val="24"/>
        </w:rPr>
        <w:t>第六章 工作部署与经费估算</w:t>
      </w:r>
      <w:r>
        <w:rPr>
          <w:rFonts w:ascii="Times New Roman" w:hAnsi="Times New Roman" w:cs="Times New Roman"/>
          <w:bCs w:val="0"/>
          <w:color w:val="000000" w:themeColor="text1"/>
          <w:sz w:val="24"/>
          <w:szCs w:val="24"/>
        </w:rPr>
        <w:tab/>
      </w:r>
      <w:r>
        <w:rPr>
          <w:rFonts w:ascii="Times New Roman" w:hAnsi="Times New Roman" w:cs="Times New Roman"/>
          <w:bCs w:val="0"/>
          <w:color w:val="000000" w:themeColor="text1"/>
          <w:sz w:val="24"/>
          <w:szCs w:val="24"/>
        </w:rPr>
        <w:fldChar w:fldCharType="begin"/>
      </w:r>
      <w:r>
        <w:rPr>
          <w:rFonts w:ascii="Times New Roman" w:hAnsi="Times New Roman" w:cs="Times New Roman"/>
          <w:bCs w:val="0"/>
          <w:color w:val="000000" w:themeColor="text1"/>
          <w:sz w:val="24"/>
          <w:szCs w:val="24"/>
        </w:rPr>
        <w:instrText xml:space="preserve"> PAGEREF _Toc18965 \h </w:instrText>
      </w:r>
      <w:r>
        <w:rPr>
          <w:rFonts w:ascii="Times New Roman" w:hAnsi="Times New Roman" w:cs="Times New Roman"/>
          <w:bCs w:val="0"/>
          <w:color w:val="000000" w:themeColor="text1"/>
          <w:sz w:val="24"/>
          <w:szCs w:val="24"/>
        </w:rPr>
        <w:fldChar w:fldCharType="separate"/>
      </w:r>
      <w:r>
        <w:rPr>
          <w:rFonts w:ascii="Times New Roman" w:hAnsi="Times New Roman" w:cs="Times New Roman"/>
          <w:bCs w:val="0"/>
          <w:color w:val="000000" w:themeColor="text1"/>
          <w:sz w:val="24"/>
          <w:szCs w:val="24"/>
        </w:rPr>
        <w:t>90</w:t>
      </w:r>
      <w:r>
        <w:rPr>
          <w:rFonts w:ascii="Times New Roman" w:hAnsi="Times New Roman" w:cs="Times New Roman"/>
          <w:bCs w:val="0"/>
          <w:color w:val="000000" w:themeColor="text1"/>
          <w:sz w:val="24"/>
          <w:szCs w:val="24"/>
        </w:rPr>
        <w:fldChar w:fldCharType="end"/>
      </w:r>
      <w:r>
        <w:rPr>
          <w:rFonts w:ascii="Times New Roman" w:hAnsi="Times New Roman" w:cs="Times New Roman"/>
          <w:bCs w:val="0"/>
          <w:color w:val="000000" w:themeColor="text1"/>
          <w:sz w:val="24"/>
          <w:szCs w:val="24"/>
        </w:rPr>
        <w:fldChar w:fldCharType="end"/>
      </w:r>
    </w:p>
    <w:p w14:paraId="42A13C41">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"_Toc15830" </w:instrText>
      </w:r>
      <w:r>
        <w:fldChar w:fldCharType="separate"/>
      </w:r>
      <w:r>
        <w:rPr>
          <w:rFonts w:ascii="Times New Roman" w:hAnsi="Times New Roman" w:cs="Times New Roman"/>
          <w:b w:val="0"/>
          <w:color w:val="000000" w:themeColor="text1"/>
          <w:sz w:val="24"/>
          <w:szCs w:val="24"/>
        </w:rPr>
        <w:t>一、总体部署</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_Toc15830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90</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28FF3583">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"_Toc772" </w:instrText>
      </w:r>
      <w:r>
        <w:fldChar w:fldCharType="separate"/>
      </w:r>
      <w:r>
        <w:rPr>
          <w:rFonts w:ascii="Times New Roman" w:hAnsi="Times New Roman" w:cs="Times New Roman"/>
          <w:b w:val="0"/>
          <w:color w:val="000000" w:themeColor="text1"/>
          <w:sz w:val="24"/>
          <w:szCs w:val="24"/>
        </w:rPr>
        <w:t>二、总体经费估算</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_Toc772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91</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498898F0">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"_Toc30045" </w:instrText>
      </w:r>
      <w:r>
        <w:fldChar w:fldCharType="separate"/>
      </w:r>
      <w:r>
        <w:rPr>
          <w:rFonts w:ascii="Times New Roman" w:hAnsi="Times New Roman" w:cs="Times New Roman"/>
          <w:b w:val="0"/>
          <w:color w:val="000000" w:themeColor="text1"/>
          <w:sz w:val="24"/>
          <w:szCs w:val="24"/>
        </w:rPr>
        <w:t>三、阶段工作任务与经费安排</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_Toc30045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111</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7558CDA5">
      <w:pPr>
        <w:pStyle w:val="28"/>
        <w:tabs>
          <w:tab w:val="right" w:leader="dot" w:pos="9070"/>
        </w:tabs>
        <w:rPr>
          <w:rFonts w:ascii="Times New Roman" w:hAnsi="Times New Roman" w:cs="Times New Roman"/>
          <w:bCs w:val="0"/>
          <w:color w:val="000000" w:themeColor="text1"/>
          <w:sz w:val="24"/>
          <w:szCs w:val="24"/>
        </w:rPr>
      </w:pPr>
      <w:r>
        <w:fldChar w:fldCharType="begin"/>
      </w:r>
      <w:r>
        <w:instrText xml:space="preserve"> HYPERLINK \l "_Toc12058" </w:instrText>
      </w:r>
      <w:r>
        <w:fldChar w:fldCharType="separate"/>
      </w:r>
      <w:r>
        <w:rPr>
          <w:rFonts w:ascii="Times New Roman" w:hAnsi="Times New Roman" w:cs="Times New Roman"/>
          <w:bCs w:val="0"/>
          <w:color w:val="000000" w:themeColor="text1"/>
          <w:sz w:val="24"/>
          <w:szCs w:val="24"/>
        </w:rPr>
        <w:t>第七章 保障措施与公众参与</w:t>
      </w:r>
      <w:r>
        <w:rPr>
          <w:rFonts w:ascii="Times New Roman" w:hAnsi="Times New Roman" w:cs="Times New Roman"/>
          <w:bCs w:val="0"/>
          <w:color w:val="000000" w:themeColor="text1"/>
          <w:sz w:val="24"/>
          <w:szCs w:val="24"/>
        </w:rPr>
        <w:tab/>
      </w:r>
      <w:r>
        <w:rPr>
          <w:rFonts w:ascii="Times New Roman" w:hAnsi="Times New Roman" w:cs="Times New Roman"/>
          <w:bCs w:val="0"/>
          <w:color w:val="000000" w:themeColor="text1"/>
          <w:sz w:val="24"/>
          <w:szCs w:val="24"/>
        </w:rPr>
        <w:fldChar w:fldCharType="begin"/>
      </w:r>
      <w:r>
        <w:rPr>
          <w:rFonts w:ascii="Times New Roman" w:hAnsi="Times New Roman" w:cs="Times New Roman"/>
          <w:bCs w:val="0"/>
          <w:color w:val="000000" w:themeColor="text1"/>
          <w:sz w:val="24"/>
          <w:szCs w:val="24"/>
        </w:rPr>
        <w:instrText xml:space="preserve"> PAGEREF _Toc12058 \h </w:instrText>
      </w:r>
      <w:r>
        <w:rPr>
          <w:rFonts w:ascii="Times New Roman" w:hAnsi="Times New Roman" w:cs="Times New Roman"/>
          <w:bCs w:val="0"/>
          <w:color w:val="000000" w:themeColor="text1"/>
          <w:sz w:val="24"/>
          <w:szCs w:val="24"/>
        </w:rPr>
        <w:fldChar w:fldCharType="separate"/>
      </w:r>
      <w:r>
        <w:rPr>
          <w:rFonts w:ascii="Times New Roman" w:hAnsi="Times New Roman" w:cs="Times New Roman"/>
          <w:bCs w:val="0"/>
          <w:color w:val="000000" w:themeColor="text1"/>
          <w:sz w:val="24"/>
          <w:szCs w:val="24"/>
        </w:rPr>
        <w:t>120</w:t>
      </w:r>
      <w:r>
        <w:rPr>
          <w:rFonts w:ascii="Times New Roman" w:hAnsi="Times New Roman" w:cs="Times New Roman"/>
          <w:bCs w:val="0"/>
          <w:color w:val="000000" w:themeColor="text1"/>
          <w:sz w:val="24"/>
          <w:szCs w:val="24"/>
        </w:rPr>
        <w:fldChar w:fldCharType="end"/>
      </w:r>
      <w:r>
        <w:rPr>
          <w:rFonts w:ascii="Times New Roman" w:hAnsi="Times New Roman" w:cs="Times New Roman"/>
          <w:bCs w:val="0"/>
          <w:color w:val="000000" w:themeColor="text1"/>
          <w:sz w:val="24"/>
          <w:szCs w:val="24"/>
        </w:rPr>
        <w:fldChar w:fldCharType="end"/>
      </w:r>
    </w:p>
    <w:p w14:paraId="517DDC64">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"_Toc3132" </w:instrText>
      </w:r>
      <w:r>
        <w:fldChar w:fldCharType="separate"/>
      </w:r>
      <w:r>
        <w:rPr>
          <w:rFonts w:ascii="Times New Roman" w:hAnsi="Times New Roman" w:cs="Times New Roman"/>
          <w:b w:val="0"/>
          <w:color w:val="000000" w:themeColor="text1"/>
          <w:sz w:val="24"/>
          <w:szCs w:val="24"/>
        </w:rPr>
        <w:t>一、保障措施</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_Toc3132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120</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4148C3B8">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"_Toc24503" </w:instrText>
      </w:r>
      <w:r>
        <w:fldChar w:fldCharType="separate"/>
      </w:r>
      <w:r>
        <w:rPr>
          <w:rFonts w:ascii="Times New Roman" w:hAnsi="Times New Roman" w:cs="Times New Roman"/>
          <w:b w:val="0"/>
          <w:color w:val="000000" w:themeColor="text1"/>
          <w:sz w:val="24"/>
          <w:szCs w:val="24"/>
        </w:rPr>
        <w:t>二、公众参与</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_Toc24503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123</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6328312E">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"_Toc18128" </w:instrText>
      </w:r>
      <w:r>
        <w:fldChar w:fldCharType="separate"/>
      </w:r>
      <w:r>
        <w:rPr>
          <w:rFonts w:ascii="Times New Roman" w:hAnsi="Times New Roman" w:cs="Times New Roman"/>
          <w:b w:val="0"/>
          <w:color w:val="000000" w:themeColor="text1"/>
          <w:sz w:val="24"/>
          <w:szCs w:val="24"/>
        </w:rPr>
        <w:t>三、效益分析</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_Toc18128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126</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15FFA5DA">
      <w:pPr>
        <w:pStyle w:val="28"/>
        <w:tabs>
          <w:tab w:val="right" w:leader="dot" w:pos="9070"/>
        </w:tabs>
        <w:rPr>
          <w:rFonts w:ascii="Times New Roman" w:hAnsi="Times New Roman" w:cs="Times New Roman"/>
          <w:bCs w:val="0"/>
          <w:color w:val="000000" w:themeColor="text1"/>
          <w:sz w:val="24"/>
          <w:szCs w:val="24"/>
        </w:rPr>
      </w:pPr>
      <w:r>
        <w:fldChar w:fldCharType="begin"/>
      </w:r>
      <w:r>
        <w:instrText xml:space="preserve"> HYPERLINK \l "_Toc18013" </w:instrText>
      </w:r>
      <w:r>
        <w:fldChar w:fldCharType="separate"/>
      </w:r>
      <w:r>
        <w:rPr>
          <w:rFonts w:ascii="Times New Roman" w:hAnsi="Times New Roman" w:cs="Times New Roman"/>
          <w:bCs w:val="0"/>
          <w:color w:val="000000" w:themeColor="text1"/>
          <w:sz w:val="24"/>
          <w:szCs w:val="24"/>
        </w:rPr>
        <w:t>第八章 结论</w:t>
      </w:r>
      <w:r>
        <w:rPr>
          <w:rFonts w:ascii="Times New Roman" w:hAnsi="Times New Roman" w:cs="Times New Roman"/>
          <w:bCs w:val="0"/>
          <w:color w:val="000000" w:themeColor="text1"/>
          <w:sz w:val="24"/>
          <w:szCs w:val="24"/>
        </w:rPr>
        <w:tab/>
      </w:r>
      <w:r>
        <w:rPr>
          <w:rFonts w:ascii="Times New Roman" w:hAnsi="Times New Roman" w:cs="Times New Roman"/>
          <w:bCs w:val="0"/>
          <w:color w:val="000000" w:themeColor="text1"/>
          <w:sz w:val="24"/>
          <w:szCs w:val="24"/>
        </w:rPr>
        <w:fldChar w:fldCharType="begin"/>
      </w:r>
      <w:r>
        <w:rPr>
          <w:rFonts w:ascii="Times New Roman" w:hAnsi="Times New Roman" w:cs="Times New Roman"/>
          <w:bCs w:val="0"/>
          <w:color w:val="000000" w:themeColor="text1"/>
          <w:sz w:val="24"/>
          <w:szCs w:val="24"/>
        </w:rPr>
        <w:instrText xml:space="preserve"> PAGEREF _Toc18013 \h </w:instrText>
      </w:r>
      <w:r>
        <w:rPr>
          <w:rFonts w:ascii="Times New Roman" w:hAnsi="Times New Roman" w:cs="Times New Roman"/>
          <w:bCs w:val="0"/>
          <w:color w:val="000000" w:themeColor="text1"/>
          <w:sz w:val="24"/>
          <w:szCs w:val="24"/>
        </w:rPr>
        <w:fldChar w:fldCharType="separate"/>
      </w:r>
      <w:r>
        <w:rPr>
          <w:rFonts w:ascii="Times New Roman" w:hAnsi="Times New Roman" w:cs="Times New Roman"/>
          <w:bCs w:val="0"/>
          <w:color w:val="000000" w:themeColor="text1"/>
          <w:sz w:val="24"/>
          <w:szCs w:val="24"/>
        </w:rPr>
        <w:t>128</w:t>
      </w:r>
      <w:r>
        <w:rPr>
          <w:rFonts w:ascii="Times New Roman" w:hAnsi="Times New Roman" w:cs="Times New Roman"/>
          <w:bCs w:val="0"/>
          <w:color w:val="000000" w:themeColor="text1"/>
          <w:sz w:val="24"/>
          <w:szCs w:val="24"/>
        </w:rPr>
        <w:fldChar w:fldCharType="end"/>
      </w:r>
      <w:r>
        <w:rPr>
          <w:rFonts w:ascii="Times New Roman" w:hAnsi="Times New Roman" w:cs="Times New Roman"/>
          <w:bCs w:val="0"/>
          <w:color w:val="000000" w:themeColor="text1"/>
          <w:sz w:val="24"/>
          <w:szCs w:val="24"/>
        </w:rPr>
        <w:fldChar w:fldCharType="end"/>
      </w:r>
    </w:p>
    <w:p w14:paraId="442B3313">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"_Toc23769" </w:instrText>
      </w:r>
      <w:r>
        <w:fldChar w:fldCharType="separate"/>
      </w:r>
      <w:r>
        <w:rPr>
          <w:rFonts w:ascii="Times New Roman" w:hAnsi="Times New Roman" w:cs="Times New Roman"/>
          <w:b w:val="0"/>
          <w:color w:val="000000" w:themeColor="text1"/>
          <w:sz w:val="24"/>
          <w:szCs w:val="24"/>
        </w:rPr>
        <w:t>一、结论</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_Toc23769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128</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10587A39">
      <w:pPr>
        <w:pStyle w:val="28"/>
        <w:tabs>
          <w:tab w:val="right" w:leader="dot" w:pos="9070"/>
        </w:tabs>
        <w:ind w:firstLine="201" w:firstLineChars="100"/>
        <w:rPr>
          <w:rFonts w:ascii="Times New Roman" w:hAnsi="Times New Roman" w:cs="Times New Roman"/>
          <w:b w:val="0"/>
          <w:color w:val="000000" w:themeColor="text1"/>
          <w:sz w:val="24"/>
          <w:szCs w:val="24"/>
        </w:rPr>
      </w:pPr>
      <w:r>
        <w:fldChar w:fldCharType="begin"/>
      </w:r>
      <w:r>
        <w:instrText xml:space="preserve"> HYPERLINK \l "_Toc32489" </w:instrText>
      </w:r>
      <w:r>
        <w:fldChar w:fldCharType="separate"/>
      </w:r>
      <w:r>
        <w:rPr>
          <w:rFonts w:ascii="Times New Roman" w:hAnsi="Times New Roman" w:cs="Times New Roman"/>
          <w:b w:val="0"/>
          <w:color w:val="000000" w:themeColor="text1"/>
          <w:sz w:val="24"/>
          <w:szCs w:val="24"/>
        </w:rPr>
        <w:t>二、建议</w:t>
      </w:r>
      <w:r>
        <w:rPr>
          <w:rFonts w:ascii="Times New Roman" w:hAnsi="Times New Roman" w:cs="Times New Roman"/>
          <w:b w:val="0"/>
          <w:color w:val="000000" w:themeColor="text1"/>
          <w:sz w:val="24"/>
          <w:szCs w:val="24"/>
        </w:rPr>
        <w:tab/>
      </w:r>
      <w:r>
        <w:rPr>
          <w:rFonts w:ascii="Times New Roman" w:hAnsi="Times New Roman" w:cs="Times New Roman"/>
          <w:b w:val="0"/>
          <w:color w:val="000000" w:themeColor="text1"/>
          <w:sz w:val="24"/>
          <w:szCs w:val="24"/>
        </w:rPr>
        <w:fldChar w:fldCharType="begin"/>
      </w:r>
      <w:r>
        <w:rPr>
          <w:rFonts w:ascii="Times New Roman" w:hAnsi="Times New Roman" w:cs="Times New Roman"/>
          <w:b w:val="0"/>
          <w:color w:val="000000" w:themeColor="text1"/>
          <w:sz w:val="24"/>
          <w:szCs w:val="24"/>
        </w:rPr>
        <w:instrText xml:space="preserve"> PAGEREF _Toc32489 \h </w:instrText>
      </w:r>
      <w:r>
        <w:rPr>
          <w:rFonts w:ascii="Times New Roman" w:hAnsi="Times New Roman" w:cs="Times New Roman"/>
          <w:b w:val="0"/>
          <w:color w:val="000000" w:themeColor="text1"/>
          <w:sz w:val="24"/>
          <w:szCs w:val="24"/>
        </w:rPr>
        <w:fldChar w:fldCharType="separate"/>
      </w:r>
      <w:r>
        <w:rPr>
          <w:rFonts w:ascii="Times New Roman" w:hAnsi="Times New Roman" w:cs="Times New Roman"/>
          <w:b w:val="0"/>
          <w:color w:val="000000" w:themeColor="text1"/>
          <w:sz w:val="24"/>
          <w:szCs w:val="24"/>
        </w:rPr>
        <w:t>130</w:t>
      </w:r>
      <w:r>
        <w:rPr>
          <w:rFonts w:ascii="Times New Roman" w:hAnsi="Times New Roman" w:cs="Times New Roman"/>
          <w:b w:val="0"/>
          <w:color w:val="000000" w:themeColor="text1"/>
          <w:sz w:val="24"/>
          <w:szCs w:val="24"/>
        </w:rPr>
        <w:fldChar w:fldCharType="end"/>
      </w:r>
      <w:r>
        <w:rPr>
          <w:rFonts w:ascii="Times New Roman" w:hAnsi="Times New Roman" w:cs="Times New Roman"/>
          <w:b w:val="0"/>
          <w:color w:val="000000" w:themeColor="text1"/>
          <w:sz w:val="24"/>
          <w:szCs w:val="24"/>
        </w:rPr>
        <w:fldChar w:fldCharType="end"/>
      </w:r>
    </w:p>
    <w:p w14:paraId="3F7252B8">
      <w:pPr>
        <w:topLinePunct/>
        <w:spacing w:line="380" w:lineRule="exact"/>
        <w:rPr>
          <w:rFonts w:ascii="Times New Roman" w:hAnsi="Times New Roman" w:cs="Times New Roman"/>
          <w:bCs/>
          <w:color w:val="000000" w:themeColor="text1"/>
          <w:sz w:val="24"/>
          <w:szCs w:val="24"/>
        </w:rPr>
        <w:sectPr>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r>
        <w:rPr>
          <w:rFonts w:ascii="Times New Roman" w:hAnsi="Times New Roman" w:cs="Times New Roman"/>
          <w:bCs/>
          <w:color w:val="000000" w:themeColor="text1"/>
          <w:sz w:val="24"/>
          <w:szCs w:val="24"/>
        </w:rPr>
        <w:fldChar w:fldCharType="end"/>
      </w:r>
      <w:bookmarkStart w:id="48" w:name="_GoBack"/>
      <w:bookmarkEnd w:id="48"/>
    </w:p>
    <w:p w14:paraId="5A0F07D0">
      <w:pPr>
        <w:topLinePunct/>
        <w:spacing w:line="380" w:lineRule="exact"/>
        <w:rPr>
          <w:rFonts w:hint="eastAsia" w:ascii="Times New Roman" w:hAnsi="Times New Roman" w:cs="Times New Roman"/>
          <w:bCs/>
          <w:color w:val="000000" w:themeColor="text1"/>
          <w:sz w:val="24"/>
          <w:szCs w:val="24"/>
        </w:rPr>
      </w:pPr>
    </w:p>
    <w:p w14:paraId="5E011DE4">
      <w:pPr>
        <w:pStyle w:val="178"/>
        <w:topLinePunct/>
        <w:rPr>
          <w:rFonts w:hint="eastAsia" w:ascii="Times New Roman" w:hAnsi="Times New Roman" w:cs="Times New Roman"/>
          <w:color w:val="000000" w:themeColor="text1"/>
        </w:rPr>
      </w:pPr>
      <w:r>
        <w:rPr>
          <w:rFonts w:hint="eastAsia" w:ascii="Times New Roman" w:hAnsi="Times New Roman" w:cs="Times New Roman"/>
          <w:color w:val="000000" w:themeColor="text1"/>
        </w:rPr>
        <w:t>附件：</w:t>
      </w:r>
    </w:p>
    <w:p w14:paraId="7A00FEB8">
      <w:pPr>
        <w:pStyle w:val="178"/>
        <w:topLinePunct/>
        <w:rPr>
          <w:rFonts w:hint="eastAsia" w:ascii="Times New Roman" w:hAnsi="Times New Roman" w:cs="Times New Roman"/>
          <w:color w:val="000000" w:themeColor="text1"/>
        </w:rPr>
      </w:pPr>
      <w:r>
        <w:rPr>
          <w:rFonts w:hint="eastAsia" w:ascii="Times New Roman" w:hAnsi="Times New Roman" w:cs="Times New Roman"/>
          <w:color w:val="000000" w:themeColor="text1"/>
        </w:rPr>
        <w:t>附件1-方案编制委托书</w:t>
      </w:r>
    </w:p>
    <w:p w14:paraId="6BABCE63">
      <w:pPr>
        <w:pStyle w:val="178"/>
        <w:topLinePunct/>
        <w:rPr>
          <w:rFonts w:hint="eastAsia" w:ascii="Times New Roman" w:hAnsi="Times New Roman" w:cs="Times New Roman"/>
          <w:color w:val="000000" w:themeColor="text1"/>
        </w:rPr>
      </w:pPr>
      <w:r>
        <w:rPr>
          <w:rFonts w:hint="eastAsia" w:ascii="Times New Roman" w:hAnsi="Times New Roman" w:cs="Times New Roman"/>
          <w:color w:val="000000" w:themeColor="text1"/>
        </w:rPr>
        <w:t>附件2-承诺书</w:t>
      </w:r>
    </w:p>
    <w:p w14:paraId="4CD38C6E">
      <w:pPr>
        <w:pStyle w:val="178"/>
        <w:topLinePunct/>
        <w:rPr>
          <w:rFonts w:hint="eastAsia" w:ascii="Times New Roman" w:hAnsi="Times New Roman" w:cs="Times New Roman"/>
          <w:color w:val="000000" w:themeColor="text1"/>
        </w:rPr>
      </w:pPr>
      <w:r>
        <w:rPr>
          <w:rFonts w:hint="eastAsia" w:ascii="Times New Roman" w:hAnsi="Times New Roman" w:cs="Times New Roman"/>
          <w:color w:val="000000" w:themeColor="text1"/>
        </w:rPr>
        <w:t>附件3-采矿许可证</w:t>
      </w:r>
    </w:p>
    <w:p w14:paraId="1B7402E8">
      <w:pPr>
        <w:pStyle w:val="178"/>
        <w:topLinePunct/>
        <w:rPr>
          <w:rFonts w:hint="eastAsia" w:ascii="Times New Roman" w:hAnsi="Times New Roman" w:cs="Times New Roman"/>
          <w:color w:val="000000" w:themeColor="text1"/>
        </w:rPr>
      </w:pPr>
      <w:r>
        <w:rPr>
          <w:rFonts w:hint="eastAsia" w:ascii="Times New Roman" w:hAnsi="Times New Roman" w:cs="Times New Roman"/>
          <w:color w:val="000000" w:themeColor="text1"/>
        </w:rPr>
        <w:t>附件4-鸡东县永平采石场2024年玄武岩资源储量年度报告</w:t>
      </w:r>
    </w:p>
    <w:p w14:paraId="2BD13B0E">
      <w:pPr>
        <w:pStyle w:val="178"/>
        <w:topLinePunct/>
        <w:rPr>
          <w:rFonts w:hint="eastAsia" w:ascii="Times New Roman" w:hAnsi="Times New Roman" w:cs="Times New Roman"/>
          <w:color w:val="000000" w:themeColor="text1"/>
        </w:rPr>
      </w:pPr>
      <w:r>
        <w:rPr>
          <w:rFonts w:hint="eastAsia" w:ascii="Times New Roman" w:hAnsi="Times New Roman" w:cs="Times New Roman"/>
          <w:color w:val="000000" w:themeColor="text1"/>
        </w:rPr>
        <w:t>附件5-鸡东县永平采石场矿产资源开发利用方案</w:t>
      </w:r>
    </w:p>
    <w:p w14:paraId="6BA23E64">
      <w:pPr>
        <w:pStyle w:val="178"/>
        <w:topLinePunct/>
        <w:rPr>
          <w:rFonts w:hint="default" w:ascii="Times New Roman" w:hAnsi="Times New Roman" w:eastAsia="宋体" w:cs="Times New Roman"/>
          <w:color w:val="000000" w:themeColor="text1"/>
          <w:lang w:val="en-US" w:eastAsia="zh-CN"/>
        </w:rPr>
      </w:pPr>
      <w:r>
        <w:rPr>
          <w:rFonts w:hint="eastAsia" w:ascii="Times New Roman" w:hAnsi="Times New Roman" w:cs="Times New Roman"/>
          <w:color w:val="000000" w:themeColor="text1"/>
        </w:rPr>
        <w:t>附件</w:t>
      </w:r>
      <w:r>
        <w:rPr>
          <w:rFonts w:hint="eastAsia" w:ascii="Times New Roman" w:hAnsi="Times New Roman" w:cs="Times New Roman"/>
          <w:color w:val="000000" w:themeColor="text1"/>
          <w:lang w:val="en-US" w:eastAsia="zh-CN"/>
        </w:rPr>
        <w:t>6</w:t>
      </w:r>
      <w:r>
        <w:rPr>
          <w:rFonts w:hint="eastAsia" w:ascii="Times New Roman" w:hAnsi="Times New Roman" w:cs="Times New Roman"/>
          <w:color w:val="000000" w:themeColor="text1"/>
        </w:rPr>
        <w:t>-</w:t>
      </w:r>
      <w:r>
        <w:rPr>
          <w:rFonts w:hint="eastAsia" w:ascii="Times New Roman" w:hAnsi="Times New Roman" w:cs="Times New Roman"/>
          <w:color w:val="000000" w:themeColor="text1"/>
          <w:lang w:val="en-US" w:eastAsia="zh-CN"/>
        </w:rPr>
        <w:t>缴费凭证</w:t>
      </w:r>
    </w:p>
    <w:p w14:paraId="017875B3">
      <w:pPr>
        <w:pStyle w:val="178"/>
        <w:topLinePunct/>
        <w:rPr>
          <w:rFonts w:hint="eastAsia" w:ascii="Times New Roman" w:hAnsi="Times New Roman" w:cs="Times New Roman"/>
          <w:color w:val="000000" w:themeColor="text1"/>
        </w:rPr>
      </w:pPr>
    </w:p>
    <w:p w14:paraId="355190C6">
      <w:pPr>
        <w:pStyle w:val="178"/>
        <w:topLinePunct/>
        <w:rPr>
          <w:rFonts w:hint="eastAsia" w:ascii="Times New Roman" w:hAnsi="Times New Roman" w:cs="Times New Roman"/>
          <w:color w:val="000000" w:themeColor="text1"/>
        </w:rPr>
      </w:pPr>
      <w:r>
        <w:rPr>
          <w:rFonts w:hint="eastAsia" w:ascii="Times New Roman" w:hAnsi="Times New Roman" w:cs="Times New Roman"/>
          <w:color w:val="000000" w:themeColor="text1"/>
        </w:rPr>
        <w:t>附图：</w:t>
      </w:r>
    </w:p>
    <w:p w14:paraId="494655B3">
      <w:pPr>
        <w:pStyle w:val="178"/>
        <w:topLinePunct/>
        <w:rPr>
          <w:rFonts w:hint="eastAsia" w:ascii="Times New Roman" w:hAnsi="Times New Roman" w:cs="Times New Roman"/>
          <w:color w:val="000000" w:themeColor="text1"/>
        </w:rPr>
      </w:pPr>
      <w:r>
        <w:rPr>
          <w:rFonts w:hint="eastAsia" w:ascii="Times New Roman" w:hAnsi="Times New Roman" w:cs="Times New Roman"/>
          <w:color w:val="000000" w:themeColor="text1"/>
        </w:rPr>
        <w:t>附图1-矿区土地利用现状图</w:t>
      </w:r>
    </w:p>
    <w:p w14:paraId="115555BD">
      <w:pPr>
        <w:pStyle w:val="178"/>
        <w:topLinePunct/>
        <w:rPr>
          <w:rFonts w:hint="eastAsia" w:ascii="Times New Roman" w:hAnsi="Times New Roman" w:cs="Times New Roman"/>
          <w:color w:val="000000" w:themeColor="text1"/>
        </w:rPr>
      </w:pPr>
      <w:r>
        <w:rPr>
          <w:rFonts w:hint="eastAsia" w:ascii="Times New Roman" w:hAnsi="Times New Roman" w:cs="Times New Roman"/>
          <w:color w:val="000000" w:themeColor="text1"/>
        </w:rPr>
        <w:t>附图2-矿区地质环境问题现状图</w:t>
      </w:r>
    </w:p>
    <w:p w14:paraId="264C96FC">
      <w:pPr>
        <w:pStyle w:val="178"/>
        <w:topLinePunct/>
        <w:rPr>
          <w:rFonts w:hint="eastAsia" w:ascii="Times New Roman" w:hAnsi="Times New Roman" w:cs="Times New Roman"/>
          <w:color w:val="000000" w:themeColor="text1"/>
        </w:rPr>
      </w:pPr>
      <w:r>
        <w:rPr>
          <w:rFonts w:hint="eastAsia" w:ascii="Times New Roman" w:hAnsi="Times New Roman" w:cs="Times New Roman"/>
          <w:color w:val="000000" w:themeColor="text1"/>
        </w:rPr>
        <w:t>附图3-矿区土地损毁现状图</w:t>
      </w:r>
    </w:p>
    <w:p w14:paraId="48DCABD6">
      <w:pPr>
        <w:pStyle w:val="178"/>
        <w:topLinePunct/>
        <w:rPr>
          <w:rFonts w:hint="eastAsia" w:ascii="Times New Roman" w:hAnsi="Times New Roman" w:cs="Times New Roman"/>
          <w:color w:val="000000" w:themeColor="text1"/>
        </w:rPr>
      </w:pPr>
      <w:r>
        <w:rPr>
          <w:rFonts w:hint="eastAsia" w:ascii="Times New Roman" w:hAnsi="Times New Roman" w:cs="Times New Roman"/>
          <w:color w:val="000000" w:themeColor="text1"/>
        </w:rPr>
        <w:t>附图4-矿区地质环境问题预测图</w:t>
      </w:r>
    </w:p>
    <w:p w14:paraId="735114AB">
      <w:pPr>
        <w:pStyle w:val="178"/>
        <w:topLinePunct/>
        <w:rPr>
          <w:rFonts w:hint="eastAsia" w:ascii="Times New Roman" w:hAnsi="Times New Roman" w:cs="Times New Roman"/>
          <w:color w:val="000000" w:themeColor="text1"/>
        </w:rPr>
      </w:pPr>
      <w:r>
        <w:rPr>
          <w:rFonts w:hint="eastAsia" w:ascii="Times New Roman" w:hAnsi="Times New Roman" w:cs="Times New Roman"/>
          <w:color w:val="000000" w:themeColor="text1"/>
        </w:rPr>
        <w:t>附图5-矿区土地损毁预测图</w:t>
      </w:r>
    </w:p>
    <w:p w14:paraId="4F670F87">
      <w:pPr>
        <w:pStyle w:val="178"/>
        <w:topLinePunct/>
        <w:rPr>
          <w:rFonts w:hint="eastAsia" w:ascii="Times New Roman" w:hAnsi="Times New Roman" w:cs="Times New Roman"/>
          <w:color w:val="000000" w:themeColor="text1"/>
        </w:rPr>
      </w:pPr>
      <w:r>
        <w:rPr>
          <w:rFonts w:hint="eastAsia" w:ascii="Times New Roman" w:hAnsi="Times New Roman" w:cs="Times New Roman"/>
          <w:color w:val="000000" w:themeColor="text1"/>
        </w:rPr>
        <w:t>附图6-矿区生态修复工程部署图</w:t>
      </w:r>
    </w:p>
    <w:p w14:paraId="2EE11AA4">
      <w:pPr>
        <w:topLinePunct/>
        <w:spacing w:line="380" w:lineRule="exact"/>
        <w:rPr>
          <w:rFonts w:hint="eastAsia" w:ascii="Times New Roman" w:hAnsi="Times New Roman" w:cs="Times New Roman"/>
          <w:bCs/>
          <w:color w:val="000000" w:themeColor="text1"/>
          <w:sz w:val="24"/>
          <w:szCs w:val="24"/>
        </w:rPr>
      </w:pPr>
    </w:p>
    <w:p w14:paraId="0AA02C36">
      <w:pPr>
        <w:topLinePunct/>
        <w:spacing w:line="380" w:lineRule="exact"/>
        <w:rPr>
          <w:rFonts w:ascii="Times New Roman" w:hAnsi="Times New Roman" w:cs="Times New Roman"/>
          <w:color w:val="000000" w:themeColor="text1"/>
        </w:rPr>
        <w:sectPr>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p>
    <w:p w14:paraId="384EF79A">
      <w:pPr>
        <w:pStyle w:val="159"/>
        <w:topLinePunct/>
        <w:rPr>
          <w:rFonts w:ascii="Times New Roman" w:hAnsi="Times New Roman" w:cs="Times New Roman"/>
          <w:color w:val="000000" w:themeColor="text1"/>
        </w:rPr>
      </w:pPr>
      <w:bookmarkStart w:id="1" w:name="_Toc10308"/>
      <w:r>
        <w:rPr>
          <w:rFonts w:ascii="Times New Roman" w:hAnsi="Times New Roman" w:cs="Times New Roman"/>
          <w:color w:val="000000" w:themeColor="text1"/>
        </w:rPr>
        <w:t>前言</w:t>
      </w:r>
      <w:bookmarkEnd w:id="1"/>
    </w:p>
    <w:p w14:paraId="6942E40B">
      <w:pPr>
        <w:pStyle w:val="174"/>
        <w:topLinePunct/>
        <w:rPr>
          <w:rFonts w:ascii="Times New Roman" w:hAnsi="Times New Roman" w:cs="Times New Roman"/>
          <w:color w:val="000000" w:themeColor="text1"/>
        </w:rPr>
      </w:pPr>
      <w:bookmarkStart w:id="2" w:name="_Toc12220"/>
      <w:r>
        <w:rPr>
          <w:rFonts w:ascii="Times New Roman" w:hAnsi="Times New Roman" w:cs="Times New Roman"/>
          <w:color w:val="000000" w:themeColor="text1"/>
        </w:rPr>
        <w:t>一、编制目的</w:t>
      </w:r>
      <w:bookmarkEnd w:id="2"/>
    </w:p>
    <w:p w14:paraId="2C225382">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（一）任务的由来</w:t>
      </w:r>
    </w:p>
    <w:p w14:paraId="2DB9D253">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采矿权人：</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；开采矿种：开采矿种</w:t>
      </w:r>
      <w:r>
        <w:rPr>
          <w:rFonts w:hint="eastAsia" w:ascii="Times New Roman" w:hAnsi="Times New Roman" w:cs="Times New Roman"/>
          <w:color w:val="000000" w:themeColor="text1"/>
        </w:rPr>
        <w:t>建筑用玄武岩</w:t>
      </w:r>
      <w:r>
        <w:rPr>
          <w:rFonts w:ascii="Times New Roman" w:hAnsi="Times New Roman" w:cs="Times New Roman"/>
          <w:color w:val="000000" w:themeColor="text1"/>
        </w:rPr>
        <w:t>，露天开采，生产规模为</w:t>
      </w:r>
      <w:r>
        <w:rPr>
          <w:rFonts w:hint="eastAsia" w:ascii="Times New Roman" w:hAnsi="Times New Roman" w:cs="Times New Roman"/>
          <w:color w:val="000000" w:themeColor="text1"/>
        </w:rPr>
        <w:t>7.00万</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/年，采矿许可证有效期为2021年12月29日至2031年12月29日。</w:t>
      </w:r>
    </w:p>
    <w:p w14:paraId="796D0611">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根据《自然资源部办公厅下发“关于做好《矿产资源法》实施过渡期内矿区生态修复方案编制评审有关工作的通知”》 （自然资办函﹝2025﹞2043号），涉及</w:t>
      </w:r>
      <w:bookmarkStart w:id="3" w:name="OLE_LINK3"/>
      <w:bookmarkStart w:id="4" w:name="OLE_LINK4"/>
      <w:r>
        <w:rPr>
          <w:rFonts w:ascii="Times New Roman" w:hAnsi="Times New Roman" w:cs="Times New Roman"/>
          <w:color w:val="000000" w:themeColor="text1"/>
        </w:rPr>
        <w:t>采矿许可证延续</w:t>
      </w:r>
      <w:bookmarkEnd w:id="3"/>
      <w:bookmarkEnd w:id="4"/>
      <w:r>
        <w:rPr>
          <w:rFonts w:ascii="Times New Roman" w:hAnsi="Times New Roman" w:cs="Times New Roman"/>
          <w:color w:val="000000" w:themeColor="text1"/>
        </w:rPr>
        <w:t>以及开采方案重大调整的，</w:t>
      </w:r>
      <w:bookmarkStart w:id="5" w:name="OLE_LINK5"/>
      <w:r>
        <w:rPr>
          <w:rFonts w:ascii="Times New Roman" w:hAnsi="Times New Roman" w:cs="Times New Roman"/>
          <w:color w:val="000000" w:themeColor="text1"/>
        </w:rPr>
        <w:t>采矿权人应当重新编制方案</w:t>
      </w:r>
      <w:bookmarkEnd w:id="5"/>
      <w:r>
        <w:rPr>
          <w:rFonts w:ascii="Times New Roman" w:hAnsi="Times New Roman" w:cs="Times New Roman"/>
          <w:color w:val="000000" w:themeColor="text1"/>
        </w:rPr>
        <w:t>并报有相应矿业权登记权限的自然资源主管部门评审。202</w:t>
      </w:r>
      <w:r>
        <w:rPr>
          <w:rFonts w:hint="eastAsia" w:ascii="Times New Roman" w:hAnsi="Times New Roman" w:cs="Times New Roman"/>
          <w:color w:val="000000" w:themeColor="text1"/>
        </w:rPr>
        <w:t>0</w:t>
      </w:r>
      <w:r>
        <w:rPr>
          <w:rFonts w:ascii="Times New Roman" w:hAnsi="Times New Roman" w:cs="Times New Roman"/>
          <w:color w:val="000000" w:themeColor="text1"/>
        </w:rPr>
        <w:t>年</w:t>
      </w:r>
      <w:r>
        <w:rPr>
          <w:rFonts w:hint="eastAsia" w:ascii="Times New Roman" w:hAnsi="Times New Roman" w:cs="Times New Roman"/>
          <w:color w:val="000000" w:themeColor="text1"/>
        </w:rPr>
        <w:t>6</w:t>
      </w:r>
      <w:r>
        <w:rPr>
          <w:rFonts w:ascii="Times New Roman" w:hAnsi="Times New Roman" w:cs="Times New Roman"/>
          <w:color w:val="000000" w:themeColor="text1"/>
        </w:rPr>
        <w:t>月，哈尔滨江鸿矿产资源勘查开发有限公司编制了《</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矿山地质环境保护与土地复垦方案》，本次对方案进行修编，为此，</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于2025年11月</w:t>
      </w:r>
      <w:r>
        <w:rPr>
          <w:rFonts w:hint="eastAsia" w:ascii="Times New Roman" w:hAnsi="Times New Roman" w:cs="Times New Roman"/>
          <w:color w:val="000000" w:themeColor="text1"/>
        </w:rPr>
        <w:t>20</w:t>
      </w:r>
      <w:r>
        <w:rPr>
          <w:rFonts w:ascii="Times New Roman" w:hAnsi="Times New Roman" w:cs="Times New Roman"/>
          <w:color w:val="000000" w:themeColor="text1"/>
        </w:rPr>
        <w:t>日委托黑龙江省庭川规划设计工程处编制《</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矿区生态修复方案》。</w:t>
      </w:r>
    </w:p>
    <w:p w14:paraId="1E5A9F08">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（二）编制目的</w:t>
      </w:r>
    </w:p>
    <w:p w14:paraId="59031B92">
      <w:pPr>
        <w:pStyle w:val="178"/>
        <w:topLinePunct/>
        <w:rPr>
          <w:rFonts w:ascii="Times New Roman" w:hAnsi="Times New Roman" w:cs="Times New Roman"/>
          <w:color w:val="000000" w:themeColor="text1"/>
        </w:rPr>
      </w:pPr>
      <w:r>
        <w:rPr>
          <w:rFonts w:ascii="Times New Roman" w:hAnsi="Times New Roman" w:cs="Times New Roman"/>
          <w:color w:val="000000" w:themeColor="text1"/>
        </w:rPr>
        <w:t>编制《</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矿区生态修复方案》的目的：</w:t>
      </w:r>
    </w:p>
    <w:p w14:paraId="3C6E84F7">
      <w:pPr>
        <w:pStyle w:val="178"/>
        <w:topLinePunct/>
        <w:rPr>
          <w:rFonts w:ascii="Times New Roman" w:hAnsi="Times New Roman" w:cs="Times New Roman"/>
          <w:color w:val="000000" w:themeColor="text1"/>
        </w:rPr>
      </w:pPr>
      <w:r>
        <w:rPr>
          <w:rFonts w:ascii="Times New Roman" w:hAnsi="Times New Roman" w:cs="Times New Roman"/>
          <w:color w:val="000000" w:themeColor="text1"/>
        </w:rPr>
        <w:t>一是指导采矿权人全面履行矿区生态修复义务的技术文本；</w:t>
      </w:r>
    </w:p>
    <w:p w14:paraId="13B5D865">
      <w:pPr>
        <w:pStyle w:val="178"/>
        <w:topLinePunct/>
        <w:rPr>
          <w:rFonts w:ascii="Times New Roman" w:hAnsi="Times New Roman" w:cs="Times New Roman"/>
          <w:color w:val="000000" w:themeColor="text1"/>
        </w:rPr>
      </w:pPr>
      <w:r>
        <w:rPr>
          <w:rFonts w:ascii="Times New Roman" w:hAnsi="Times New Roman" w:cs="Times New Roman"/>
          <w:color w:val="000000" w:themeColor="text1"/>
        </w:rPr>
        <w:t>二是公众参与监督矿区生态修复和保证相关权利人权益的文件；</w:t>
      </w:r>
    </w:p>
    <w:p w14:paraId="31791EDB">
      <w:pPr>
        <w:pStyle w:val="178"/>
        <w:topLinePunct/>
        <w:rPr>
          <w:rFonts w:ascii="Times New Roman" w:hAnsi="Times New Roman" w:cs="Times New Roman"/>
          <w:color w:val="000000" w:themeColor="text1"/>
        </w:rPr>
      </w:pPr>
      <w:r>
        <w:rPr>
          <w:rFonts w:ascii="Times New Roman" w:hAnsi="Times New Roman" w:cs="Times New Roman"/>
          <w:color w:val="000000" w:themeColor="text1"/>
        </w:rPr>
        <w:t>三是自然资源主管部门监管的技术依据。</w:t>
      </w:r>
    </w:p>
    <w:p w14:paraId="564367B3">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（三）编制过程</w:t>
      </w:r>
    </w:p>
    <w:p w14:paraId="65882177">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1、工作方法</w:t>
      </w:r>
    </w:p>
    <w:p w14:paraId="156D741F">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在接受委托后，黑龙江省庭川规划设计工程处立即组建了项目组，项目组在充分收集、分析与评估区有关的自然、地质、工程等资料的基础上，于2025年11月</w:t>
      </w:r>
      <w:r>
        <w:rPr>
          <w:rFonts w:hint="eastAsia" w:ascii="Times New Roman" w:hAnsi="Times New Roman" w:cs="Times New Roman"/>
          <w:color w:val="000000" w:themeColor="text1"/>
        </w:rPr>
        <w:t>21</w:t>
      </w:r>
      <w:r>
        <w:rPr>
          <w:rFonts w:ascii="Times New Roman" w:hAnsi="Times New Roman" w:cs="Times New Roman"/>
          <w:color w:val="000000" w:themeColor="text1"/>
        </w:rPr>
        <w:t>日开展野外调查工作，野外工作采用矿区</w:t>
      </w:r>
      <w:r>
        <w:rPr>
          <w:rFonts w:ascii="Times New Roman" w:hAnsi="Times New Roman" w:cs="Times New Roman"/>
          <w:color w:val="E36C09" w:themeColor="accent6" w:themeShade="BF"/>
        </w:rPr>
        <w:t>1：</w:t>
      </w:r>
      <w:r>
        <w:rPr>
          <w:rFonts w:hint="eastAsia" w:ascii="Times New Roman" w:hAnsi="Times New Roman" w:cs="Times New Roman"/>
          <w:color w:val="E36C09" w:themeColor="accent6" w:themeShade="BF"/>
        </w:rPr>
        <w:t>1</w:t>
      </w:r>
      <w:r>
        <w:rPr>
          <w:rFonts w:ascii="Times New Roman" w:hAnsi="Times New Roman" w:cs="Times New Roman"/>
          <w:color w:val="E36C09" w:themeColor="accent6" w:themeShade="BF"/>
        </w:rPr>
        <w:t>000</w:t>
      </w:r>
      <w:r>
        <w:rPr>
          <w:rFonts w:ascii="Times New Roman" w:hAnsi="Times New Roman" w:cs="Times New Roman"/>
          <w:color w:val="000000" w:themeColor="text1"/>
        </w:rPr>
        <w:t>地形地质图为底图，采用高精度GPS进行定点，结合无人机，对矿山及周边区域进行详细调查。调查内容主要有：地形地貌、地层岩性、岩土体特征、地质构造、水文地质及工程地质条件、矿区土地利用现状、地貌景观、地质灾害及隐患点、占用和破坏土地类型和规模、植被资源的破坏现状等。随后进行室内资料综合整理、图件编制及方案的编制工作。</w:t>
      </w:r>
    </w:p>
    <w:p w14:paraId="37196908">
      <w:pPr>
        <w:pStyle w:val="178"/>
        <w:topLinePunct/>
        <w:rPr>
          <w:rFonts w:ascii="Times New Roman" w:hAnsi="Times New Roman" w:cs="Times New Roman"/>
          <w:color w:val="000000" w:themeColor="text1"/>
        </w:rPr>
      </w:pPr>
      <w:r>
        <w:rPr>
          <w:rFonts w:ascii="Times New Roman" w:hAnsi="Times New Roman" w:cs="Times New Roman"/>
          <w:color w:val="000000" w:themeColor="text1"/>
        </w:rPr>
        <w:t>主要工作内容为：</w:t>
      </w:r>
    </w:p>
    <w:p w14:paraId="3136A752">
      <w:pPr>
        <w:pStyle w:val="178"/>
        <w:topLinePunct/>
        <w:rPr>
          <w:rFonts w:ascii="Times New Roman" w:hAnsi="Times New Roman" w:cs="Times New Roman"/>
          <w:color w:val="000000" w:themeColor="text1"/>
        </w:rPr>
      </w:pPr>
      <w:r>
        <w:rPr>
          <w:rFonts w:ascii="Times New Roman" w:hAnsi="Times New Roman" w:cs="Times New Roman"/>
          <w:color w:val="000000" w:themeColor="text1"/>
        </w:rPr>
        <w:t>（1）搜集</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矿山概况、矿山自然地理、矿山地质环境条件等方面的有关资料，基础调查内容包括自然生态状况、社会经济、矿产资源开发利用现状、土地利用现状、矿山生态问题、以往工作开展情况。</w:t>
      </w:r>
    </w:p>
    <w:p w14:paraId="64288577">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（2）公众参与调查，主要是收集矿区周边区域公众对土地复垦项目占地及开展后期土地复垦工作的意见和建议，以明确土地复垦的可行性；</w:t>
      </w:r>
    </w:p>
    <w:p w14:paraId="18BE1332">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（3）分析评价：通过问题识别与诊断确立生态修复本底、建立参照生态系统分类评价，确定实施区域为采矿权范围及采矿影响活动区，确定修复总体目标、绩效目标、年度目标。</w:t>
      </w:r>
    </w:p>
    <w:p w14:paraId="1DBD1311">
      <w:pPr>
        <w:pStyle w:val="178"/>
        <w:topLinePunct/>
        <w:rPr>
          <w:rFonts w:ascii="Times New Roman" w:hAnsi="Times New Roman" w:cs="Times New Roman"/>
          <w:color w:val="000000" w:themeColor="text1"/>
        </w:rPr>
      </w:pPr>
      <w:r>
        <w:rPr>
          <w:rFonts w:ascii="Times New Roman" w:hAnsi="Times New Roman" w:cs="Times New Roman"/>
          <w:color w:val="000000" w:themeColor="text1"/>
        </w:rPr>
        <w:t>（4）对</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采矿活动可能影响的范围内开展矿山地质环境调查；进行现状评估和预测评估，包括分析评估区地质环境背景，对矿山活动引发或加剧地质环境问题及其影响做出现状评估和预测评估，按照恢复治理分区原则进行合理的分区和工程部署，进而合理部署矿区生态修复工程及监测点位，实现矿产资源的合理开发利用及矿山地质环境的有效保护；</w:t>
      </w:r>
    </w:p>
    <w:p w14:paraId="4185C7F1">
      <w:pPr>
        <w:pStyle w:val="178"/>
        <w:topLinePunct/>
        <w:rPr>
          <w:rFonts w:ascii="Times New Roman" w:hAnsi="Times New Roman" w:cs="Times New Roman"/>
          <w:color w:val="000000" w:themeColor="text1"/>
        </w:rPr>
      </w:pPr>
      <w:r>
        <w:rPr>
          <w:rFonts w:ascii="Times New Roman" w:hAnsi="Times New Roman" w:cs="Times New Roman"/>
          <w:color w:val="000000" w:themeColor="text1"/>
        </w:rPr>
        <w:t>（5）通过土地利用现状调查和资料分析，确定矿山开采导致的土地损毁情况，确定复垦区和复垦责任范围，并对</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进行土地复垦方向可行性分析，根据土地复垦适宜性评价，确定复垦方向，布设复垦措施。最终恢复土地的生产力，将工程对当地生态环境影响减小到最低程度，改善当地生态环境质量；</w:t>
      </w:r>
    </w:p>
    <w:p w14:paraId="2FB0FC51">
      <w:pPr>
        <w:pStyle w:val="178"/>
        <w:topLinePunct/>
        <w:rPr>
          <w:rFonts w:ascii="Times New Roman" w:hAnsi="Times New Roman" w:cs="Times New Roman"/>
          <w:color w:val="000000" w:themeColor="text1"/>
        </w:rPr>
      </w:pPr>
      <w:r>
        <w:rPr>
          <w:rFonts w:ascii="Times New Roman" w:hAnsi="Times New Roman" w:cs="Times New Roman"/>
          <w:color w:val="000000" w:themeColor="text1"/>
        </w:rPr>
        <w:t>（6）通过项目组成员收集的资料编制完成了《</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矿区生态修复方案》。</w:t>
      </w:r>
    </w:p>
    <w:p w14:paraId="1DC62E63">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2、工作质量评述</w:t>
      </w:r>
    </w:p>
    <w:p w14:paraId="30E2823E">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本项目对《</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产资源开发利用方案》等主要设计文件进行深入研究，严格按照《土地复垦方案编制规程第1部分：通则》（TD/T1031.1-2011）、《土地复垦方案编制规程第2部分：露天煤矿》（TD/T1031.2-2011）、《矿山地质环境保护与治理恢复方案编制规范》（DZ/T0223－2011）、《矿山土地复垦与生态修复监测评价技术规范（GB/T43935）》、《自然资源部关于进一步加强生产矿山土地复垦与生态修复监管工作的通知（征求意见稿）》及其附件《矿区生态修复方案编制指南》等要求，完成了《</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矿区生态修复方案》的编制工作。</w:t>
      </w:r>
    </w:p>
    <w:p w14:paraId="2704F887">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方案编制在全面收集矿区相关资料以及地质环境调查、土地利用状况调查的基础上，严格按照《矿区生态修复方案编制指南》及其他国家现行有关规范或技术要求进行编制的，该报告资料真实可信，数据准确，质量满足要求，完成了预期的工作任务，达到了工作目的。</w:t>
      </w:r>
    </w:p>
    <w:p w14:paraId="732712EA">
      <w:pPr>
        <w:pStyle w:val="178"/>
        <w:topLinePunct/>
        <w:ind w:firstLine="0" w:firstLineChars="0"/>
        <w:jc w:val="center"/>
        <w:rPr>
          <w:rFonts w:ascii="Times New Roman" w:hAnsi="Times New Roman" w:cs="Times New Roman"/>
          <w:color w:val="000000" w:themeColor="text1"/>
        </w:rPr>
      </w:pPr>
      <w:r>
        <w:rPr>
          <w:rFonts w:ascii="Times New Roman" w:hAnsi="Times New Roman" w:cs="Times New Roman"/>
          <w:color w:val="000000" w:themeColor="text1"/>
        </w:rPr>
        <w:drawing>
          <wp:inline distT="0" distB="0" distL="0" distR="0">
            <wp:extent cx="5790565" cy="2667000"/>
            <wp:effectExtent l="19050" t="0" r="143" b="0"/>
            <wp:docPr id="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a:picLocks noChangeAspect="1"/>
                    </pic:cNvPicPr>
                  </pic:nvPicPr>
                  <pic:blipFill>
                    <a:blip r:embed="rId8" cstate="print"/>
                    <a:stretch>
                      <a:fillRect/>
                    </a:stretch>
                  </pic:blipFill>
                  <pic:spPr>
                    <a:xfrm>
                      <a:off x="0" y="0"/>
                      <a:ext cx="5794831" cy="2668738"/>
                    </a:xfrm>
                    <a:prstGeom prst="rect">
                      <a:avLst/>
                    </a:prstGeom>
                  </pic:spPr>
                </pic:pic>
              </a:graphicData>
            </a:graphic>
          </wp:inline>
        </w:drawing>
      </w:r>
    </w:p>
    <w:p w14:paraId="13EC3F42">
      <w:pPr>
        <w:pStyle w:val="178"/>
        <w:topLinePunct/>
        <w:ind w:firstLine="0" w:firstLineChars="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图0-1矿区生态修复方案编制流程图</w:t>
      </w:r>
    </w:p>
    <w:p w14:paraId="124C78E5">
      <w:pPr>
        <w:pStyle w:val="178"/>
        <w:topLinePunct/>
        <w:rPr>
          <w:rFonts w:ascii="Times New Roman" w:hAnsi="Times New Roman" w:cs="Times New Roman"/>
          <w:color w:val="000000" w:themeColor="text1"/>
        </w:rPr>
      </w:pPr>
      <w:r>
        <w:rPr>
          <w:rFonts w:ascii="Times New Roman" w:hAnsi="Times New Roman" w:cs="Times New Roman"/>
          <w:color w:val="000000" w:themeColor="text1"/>
        </w:rPr>
        <w:t>采矿权人</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及方案编写单位黑龙江省庭川规划设计工程处郑重承诺本方案中的数据真实可靠、结论具有真实性及科学性。</w:t>
      </w:r>
    </w:p>
    <w:p w14:paraId="1ECA2D2E">
      <w:pPr>
        <w:pStyle w:val="179"/>
        <w:topLinePunct/>
        <w:rPr>
          <w:rFonts w:ascii="Times New Roman" w:hAnsi="Times New Roman" w:cs="Times New Roman"/>
          <w:color w:val="000000" w:themeColor="text1"/>
        </w:rPr>
      </w:pPr>
      <w:r>
        <w:rPr>
          <w:rFonts w:ascii="Times New Roman" w:hAnsi="Times New Roman" w:cs="Times New Roman"/>
          <w:color w:val="000000" w:themeColor="text1"/>
        </w:rPr>
        <w:t>（四）上期矿山地质环境保护与土地复垦方案</w:t>
      </w:r>
    </w:p>
    <w:p w14:paraId="3E3773D8">
      <w:pPr>
        <w:pStyle w:val="178"/>
        <w:topLinePunct/>
        <w:rPr>
          <w:rFonts w:ascii="Times New Roman" w:hAnsi="Times New Roman" w:cs="Times New Roman"/>
          <w:b/>
          <w:color w:val="000000" w:themeColor="text1"/>
        </w:rPr>
      </w:pPr>
      <w:r>
        <w:rPr>
          <w:rFonts w:ascii="Times New Roman" w:hAnsi="Times New Roman" w:cs="Times New Roman"/>
          <w:color w:val="000000" w:themeColor="text1"/>
        </w:rPr>
        <w:t>202</w:t>
      </w:r>
      <w:r>
        <w:rPr>
          <w:rFonts w:hint="eastAsia" w:ascii="Times New Roman" w:hAnsi="Times New Roman" w:cs="Times New Roman"/>
          <w:color w:val="000000" w:themeColor="text1"/>
        </w:rPr>
        <w:t>0</w:t>
      </w:r>
      <w:r>
        <w:rPr>
          <w:rFonts w:ascii="Times New Roman" w:hAnsi="Times New Roman" w:cs="Times New Roman"/>
          <w:color w:val="000000" w:themeColor="text1"/>
        </w:rPr>
        <w:t>年</w:t>
      </w:r>
      <w:r>
        <w:rPr>
          <w:rFonts w:hint="eastAsia" w:ascii="Times New Roman" w:hAnsi="Times New Roman" w:cs="Times New Roman"/>
          <w:color w:val="000000" w:themeColor="text1"/>
        </w:rPr>
        <w:t>6</w:t>
      </w:r>
      <w:r>
        <w:rPr>
          <w:rFonts w:ascii="Times New Roman" w:hAnsi="Times New Roman" w:cs="Times New Roman"/>
          <w:color w:val="000000" w:themeColor="text1"/>
        </w:rPr>
        <w:t>月编制的上期《</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矿山地质环境保护与土地复垦方案》，矿区面积：0.1391k</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，生产规模：</w:t>
      </w:r>
      <w:r>
        <w:rPr>
          <w:rFonts w:hint="eastAsia" w:ascii="Times New Roman" w:hAnsi="Times New Roman" w:cs="Times New Roman"/>
          <w:color w:val="000000" w:themeColor="text1"/>
        </w:rPr>
        <w:t>7.00</w:t>
      </w:r>
      <w:r>
        <w:rPr>
          <w:rFonts w:ascii="Times New Roman" w:hAnsi="Times New Roman" w:cs="Times New Roman"/>
          <w:color w:val="000000" w:themeColor="text1"/>
        </w:rPr>
        <w:t>万</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/年，可采出资源储量为2253164</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，方案的服务年限为</w:t>
      </w:r>
      <w:r>
        <w:rPr>
          <w:rFonts w:hint="eastAsia" w:ascii="Times New Roman" w:hAnsi="Times New Roman" w:cs="Times New Roman"/>
          <w:color w:val="000000" w:themeColor="text1"/>
        </w:rPr>
        <w:t>35.54</w:t>
      </w:r>
      <w:r>
        <w:rPr>
          <w:rFonts w:ascii="Times New Roman" w:hAnsi="Times New Roman" w:cs="Times New Roman"/>
          <w:color w:val="000000" w:themeColor="text1"/>
        </w:rPr>
        <w:t>年，自202</w:t>
      </w:r>
      <w:r>
        <w:rPr>
          <w:rFonts w:hint="eastAsia" w:ascii="Times New Roman" w:hAnsi="Times New Roman" w:cs="Times New Roman"/>
          <w:color w:val="000000" w:themeColor="text1"/>
        </w:rPr>
        <w:t>0</w:t>
      </w:r>
      <w:r>
        <w:rPr>
          <w:rFonts w:ascii="Times New Roman" w:hAnsi="Times New Roman" w:cs="Times New Roman"/>
          <w:color w:val="000000" w:themeColor="text1"/>
        </w:rPr>
        <w:t>年</w:t>
      </w:r>
      <w:r>
        <w:rPr>
          <w:rFonts w:hint="eastAsia" w:ascii="Times New Roman" w:hAnsi="Times New Roman" w:cs="Times New Roman"/>
          <w:color w:val="000000" w:themeColor="text1"/>
        </w:rPr>
        <w:t>7</w:t>
      </w:r>
      <w:r>
        <w:rPr>
          <w:rFonts w:ascii="Times New Roman" w:hAnsi="Times New Roman" w:cs="Times New Roman"/>
          <w:color w:val="000000" w:themeColor="text1"/>
        </w:rPr>
        <w:t>月～20</w:t>
      </w:r>
      <w:r>
        <w:rPr>
          <w:rFonts w:hint="eastAsia" w:ascii="Times New Roman" w:hAnsi="Times New Roman" w:cs="Times New Roman"/>
          <w:color w:val="000000" w:themeColor="text1"/>
        </w:rPr>
        <w:t>55</w:t>
      </w:r>
      <w:r>
        <w:rPr>
          <w:rFonts w:ascii="Times New Roman" w:hAnsi="Times New Roman" w:cs="Times New Roman"/>
          <w:color w:val="000000" w:themeColor="text1"/>
        </w:rPr>
        <w:t>年1</w:t>
      </w:r>
      <w:r>
        <w:rPr>
          <w:rFonts w:hint="eastAsia" w:ascii="Times New Roman" w:hAnsi="Times New Roman" w:cs="Times New Roman"/>
          <w:color w:val="000000" w:themeColor="text1"/>
        </w:rPr>
        <w:t>2</w:t>
      </w:r>
      <w:r>
        <w:rPr>
          <w:rFonts w:ascii="Times New Roman" w:hAnsi="Times New Roman" w:cs="Times New Roman"/>
          <w:color w:val="000000" w:themeColor="text1"/>
        </w:rPr>
        <w:t>月。因为未开采完毕，所以未进行复垦工程。</w:t>
      </w:r>
    </w:p>
    <w:p w14:paraId="1F042A88">
      <w:pPr>
        <w:pStyle w:val="174"/>
        <w:topLinePunct/>
        <w:rPr>
          <w:rFonts w:ascii="Times New Roman" w:hAnsi="Times New Roman" w:cs="Times New Roman"/>
          <w:color w:val="000000" w:themeColor="text1"/>
        </w:rPr>
      </w:pPr>
      <w:bookmarkStart w:id="6" w:name="_Toc1095"/>
      <w:r>
        <w:rPr>
          <w:rFonts w:ascii="Times New Roman" w:hAnsi="Times New Roman" w:cs="Times New Roman"/>
          <w:color w:val="000000" w:themeColor="text1"/>
        </w:rPr>
        <w:t>二、服务年限</w:t>
      </w:r>
      <w:bookmarkEnd w:id="6"/>
    </w:p>
    <w:p w14:paraId="0D968913">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为续建矿山，方案适用年限包括矿山服务年限、治理与复垦年限、管护年限。根据《鸡东县永平采石场2024年玄武岩资源/储量年度报告》（2024年12月）</w:t>
      </w:r>
      <w:r>
        <w:rPr>
          <w:rFonts w:hint="eastAsia" w:ascii="Times New Roman" w:hAnsi="Times New Roman" w:cs="Times New Roman"/>
          <w:color w:val="000000" w:themeColor="text1"/>
        </w:rPr>
        <w:t>和</w:t>
      </w:r>
      <w:r>
        <w:rPr>
          <w:rFonts w:ascii="Times New Roman" w:hAnsi="Times New Roman" w:cs="Times New Roman"/>
          <w:color w:val="000000" w:themeColor="text1"/>
        </w:rPr>
        <w:t>《鸡东县永平采石场矿产资源开发利用方案》（2025年1月），截止2024年12月26日鸡东县永平采石场剩余玄武岩资源储量建筑用玄武岩资源/储量为2287134</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，其中可采储量为1830058</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，2025年未进行开采，未动用储量，回采率98%，可采出资源量为1793457</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。矿山生产规模</w:t>
      </w:r>
      <w:r>
        <w:rPr>
          <w:rFonts w:hint="eastAsia" w:ascii="Times New Roman" w:hAnsi="Times New Roman" w:cs="Times New Roman"/>
          <w:color w:val="000000" w:themeColor="text1"/>
        </w:rPr>
        <w:t>7.00万</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/年，矿山设计服务年限约为</w:t>
      </w:r>
      <w:r>
        <w:rPr>
          <w:rFonts w:hint="eastAsia" w:ascii="Times New Roman" w:hAnsi="Times New Roman" w:cs="Times New Roman"/>
          <w:color w:val="000000" w:themeColor="text1"/>
        </w:rPr>
        <w:t>26</w:t>
      </w:r>
      <w:r>
        <w:rPr>
          <w:rFonts w:ascii="Times New Roman" w:hAnsi="Times New Roman" w:cs="Times New Roman"/>
          <w:color w:val="000000" w:themeColor="text1"/>
        </w:rPr>
        <w:t>年，即2026年1月至20</w:t>
      </w:r>
      <w:r>
        <w:rPr>
          <w:rFonts w:hint="eastAsia" w:ascii="Times New Roman" w:hAnsi="Times New Roman" w:cs="Times New Roman"/>
          <w:color w:val="000000" w:themeColor="text1"/>
        </w:rPr>
        <w:t>51</w:t>
      </w:r>
      <w:r>
        <w:rPr>
          <w:rFonts w:ascii="Times New Roman" w:hAnsi="Times New Roman" w:cs="Times New Roman"/>
          <w:color w:val="000000" w:themeColor="text1"/>
        </w:rPr>
        <w:t>年</w:t>
      </w:r>
      <w:r>
        <w:rPr>
          <w:rFonts w:hint="eastAsia" w:ascii="Times New Roman" w:hAnsi="Times New Roman" w:cs="Times New Roman"/>
          <w:color w:val="000000" w:themeColor="text1"/>
        </w:rPr>
        <w:t>12</w:t>
      </w:r>
      <w:r>
        <w:rPr>
          <w:rFonts w:ascii="Times New Roman" w:hAnsi="Times New Roman" w:cs="Times New Roman"/>
          <w:color w:val="000000" w:themeColor="text1"/>
        </w:rPr>
        <w:t>月。恢复治理复垦施工期</w:t>
      </w:r>
      <w:r>
        <w:rPr>
          <w:rFonts w:hint="eastAsia" w:ascii="Times New Roman" w:hAnsi="Times New Roman" w:cs="Times New Roman"/>
          <w:color w:val="000000" w:themeColor="text1"/>
        </w:rPr>
        <w:t>1</w:t>
      </w:r>
      <w:r>
        <w:rPr>
          <w:rFonts w:ascii="Times New Roman" w:hAnsi="Times New Roman" w:cs="Times New Roman"/>
          <w:color w:val="000000" w:themeColor="text1"/>
        </w:rPr>
        <w:t>年（20</w:t>
      </w:r>
      <w:r>
        <w:rPr>
          <w:rFonts w:hint="eastAsia" w:ascii="Times New Roman" w:hAnsi="Times New Roman" w:cs="Times New Roman"/>
          <w:color w:val="000000" w:themeColor="text1"/>
        </w:rPr>
        <w:t>52</w:t>
      </w:r>
      <w:r>
        <w:rPr>
          <w:rFonts w:ascii="Times New Roman" w:hAnsi="Times New Roman" w:cs="Times New Roman"/>
          <w:color w:val="000000" w:themeColor="text1"/>
        </w:rPr>
        <w:t>年</w:t>
      </w:r>
      <w:r>
        <w:rPr>
          <w:rFonts w:hint="eastAsia" w:ascii="Times New Roman" w:hAnsi="Times New Roman" w:cs="Times New Roman"/>
          <w:color w:val="000000" w:themeColor="text1"/>
        </w:rPr>
        <w:t>1</w:t>
      </w:r>
      <w:r>
        <w:rPr>
          <w:rFonts w:ascii="Times New Roman" w:hAnsi="Times New Roman" w:cs="Times New Roman"/>
          <w:color w:val="000000" w:themeColor="text1"/>
        </w:rPr>
        <w:t>月至20</w:t>
      </w:r>
      <w:r>
        <w:rPr>
          <w:rFonts w:hint="eastAsia" w:ascii="Times New Roman" w:hAnsi="Times New Roman" w:cs="Times New Roman"/>
          <w:color w:val="000000" w:themeColor="text1"/>
        </w:rPr>
        <w:t>52</w:t>
      </w:r>
      <w:r>
        <w:rPr>
          <w:rFonts w:ascii="Times New Roman" w:hAnsi="Times New Roman" w:cs="Times New Roman"/>
          <w:color w:val="000000" w:themeColor="text1"/>
        </w:rPr>
        <w:t>年12月） ，监测管护期3年（20</w:t>
      </w:r>
      <w:r>
        <w:rPr>
          <w:rFonts w:hint="eastAsia" w:ascii="Times New Roman" w:hAnsi="Times New Roman" w:cs="Times New Roman"/>
          <w:color w:val="000000" w:themeColor="text1"/>
        </w:rPr>
        <w:t>53</w:t>
      </w:r>
      <w:r>
        <w:rPr>
          <w:rFonts w:ascii="Times New Roman" w:hAnsi="Times New Roman" w:cs="Times New Roman"/>
          <w:color w:val="000000" w:themeColor="text1"/>
        </w:rPr>
        <w:t>年1月至20</w:t>
      </w:r>
      <w:r>
        <w:rPr>
          <w:rFonts w:hint="eastAsia" w:ascii="Times New Roman" w:hAnsi="Times New Roman" w:cs="Times New Roman"/>
          <w:color w:val="000000" w:themeColor="text1"/>
        </w:rPr>
        <w:t>55</w:t>
      </w:r>
      <w:r>
        <w:rPr>
          <w:rFonts w:ascii="Times New Roman" w:hAnsi="Times New Roman" w:cs="Times New Roman"/>
          <w:color w:val="000000" w:themeColor="text1"/>
        </w:rPr>
        <w:t>年12月）。因此本生态修复方案的设计服务年限为</w:t>
      </w:r>
      <w:r>
        <w:rPr>
          <w:rFonts w:hint="eastAsia" w:ascii="Times New Roman" w:hAnsi="Times New Roman" w:cs="Times New Roman"/>
          <w:color w:val="000000" w:themeColor="text1"/>
        </w:rPr>
        <w:t>30</w:t>
      </w:r>
      <w:r>
        <w:rPr>
          <w:rFonts w:ascii="Times New Roman" w:hAnsi="Times New Roman" w:cs="Times New Roman"/>
          <w:color w:val="000000" w:themeColor="text1"/>
        </w:rPr>
        <w:t>年，即2026年1月至20</w:t>
      </w:r>
      <w:r>
        <w:rPr>
          <w:rFonts w:hint="eastAsia" w:ascii="Times New Roman" w:hAnsi="Times New Roman" w:cs="Times New Roman"/>
          <w:color w:val="000000" w:themeColor="text1"/>
        </w:rPr>
        <w:t>55</w:t>
      </w:r>
      <w:r>
        <w:rPr>
          <w:rFonts w:ascii="Times New Roman" w:hAnsi="Times New Roman" w:cs="Times New Roman"/>
          <w:color w:val="000000" w:themeColor="text1"/>
        </w:rPr>
        <w:t>年12月。方案基准期以方案批复日期为准。</w:t>
      </w:r>
    </w:p>
    <w:p w14:paraId="5EC828C0">
      <w:pPr>
        <w:pStyle w:val="178"/>
        <w:topLinePunct/>
        <w:rPr>
          <w:rFonts w:ascii="Times New Roman" w:hAnsi="Times New Roman" w:cs="Times New Roman"/>
          <w:color w:val="000000" w:themeColor="text1"/>
        </w:rPr>
      </w:pPr>
      <w:r>
        <w:rPr>
          <w:rFonts w:ascii="Times New Roman" w:hAnsi="Times New Roman" w:cs="Times New Roman"/>
          <w:color w:val="000000" w:themeColor="text1"/>
        </w:rPr>
        <w:t>当矿山开采</w:t>
      </w:r>
      <w:r>
        <w:rPr>
          <w:rFonts w:hint="eastAsia" w:ascii="Times New Roman" w:hAnsi="Times New Roman" w:cs="Times New Roman"/>
          <w:color w:val="000000" w:themeColor="text1"/>
        </w:rPr>
        <w:t>26</w:t>
      </w:r>
      <w:r>
        <w:rPr>
          <w:rFonts w:ascii="Times New Roman" w:hAnsi="Times New Roman" w:cs="Times New Roman"/>
          <w:color w:val="000000" w:themeColor="text1"/>
        </w:rPr>
        <w:t>年后，无可采储量，确认闭坑后，该方案适用年限为</w:t>
      </w:r>
      <w:r>
        <w:rPr>
          <w:rFonts w:hint="eastAsia" w:ascii="Times New Roman" w:hAnsi="Times New Roman" w:cs="Times New Roman"/>
          <w:color w:val="000000" w:themeColor="text1"/>
        </w:rPr>
        <w:t>30</w:t>
      </w:r>
      <w:r>
        <w:rPr>
          <w:rFonts w:ascii="Times New Roman" w:hAnsi="Times New Roman" w:cs="Times New Roman"/>
          <w:color w:val="000000" w:themeColor="text1"/>
        </w:rPr>
        <w:t>年；当矿山扩大开采规模、开采范围或开采方式改变时，需重新编制矿区生态修复方案。在实施过程中，每5 年根据矿山开发利用情况修订一次。</w:t>
      </w:r>
    </w:p>
    <w:p w14:paraId="5DF25E31">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矿区生态修复方案是采矿权人实施矿区地质环境恢复治理、地貌重塑、植被恢复、土地复垦等活动的总体部署和基本依据。本方案不代替相关工程勘查、工程设计等。</w:t>
      </w:r>
    </w:p>
    <w:p w14:paraId="3FF8C7A0">
      <w:pPr>
        <w:pStyle w:val="178"/>
        <w:topLinePunct/>
        <w:rPr>
          <w:rFonts w:ascii="Times New Roman" w:hAnsi="Times New Roman" w:cs="Times New Roman"/>
          <w:color w:val="000000" w:themeColor="text1"/>
        </w:rPr>
      </w:pPr>
    </w:p>
    <w:p w14:paraId="7053B48C">
      <w:pPr>
        <w:pStyle w:val="178"/>
        <w:topLinePunct/>
        <w:rPr>
          <w:rFonts w:ascii="Times New Roman" w:hAnsi="Times New Roman" w:cs="Times New Roman"/>
          <w:color w:val="000000" w:themeColor="text1"/>
        </w:rPr>
      </w:pPr>
      <w:r>
        <w:rPr>
          <w:rFonts w:ascii="Times New Roman" w:hAnsi="Times New Roman" w:cs="Times New Roman"/>
          <w:color w:val="000000" w:themeColor="text1"/>
        </w:rPr>
        <w:br w:type="page"/>
      </w:r>
    </w:p>
    <w:p w14:paraId="753716DD">
      <w:pPr>
        <w:pStyle w:val="159"/>
        <w:topLinePunct/>
        <w:rPr>
          <w:rFonts w:ascii="Times New Roman" w:hAnsi="Times New Roman" w:cs="Times New Roman"/>
          <w:color w:val="000000" w:themeColor="text1"/>
        </w:rPr>
      </w:pPr>
      <w:bookmarkStart w:id="7" w:name="_Toc14268"/>
      <w:r>
        <w:rPr>
          <w:rFonts w:ascii="Times New Roman" w:hAnsi="Times New Roman" w:cs="Times New Roman"/>
          <w:color w:val="000000" w:themeColor="text1"/>
        </w:rPr>
        <w:t>第一章 矿山基本情况</w:t>
      </w:r>
      <w:bookmarkEnd w:id="7"/>
    </w:p>
    <w:p w14:paraId="325361B0">
      <w:pPr>
        <w:pStyle w:val="174"/>
        <w:topLinePunct/>
        <w:rPr>
          <w:rFonts w:ascii="Times New Roman" w:hAnsi="Times New Roman" w:cs="Times New Roman"/>
          <w:color w:val="000000" w:themeColor="text1"/>
        </w:rPr>
      </w:pPr>
      <w:bookmarkStart w:id="8" w:name="_Toc29776"/>
      <w:r>
        <w:rPr>
          <w:rFonts w:ascii="Times New Roman" w:hAnsi="Times New Roman" w:cs="Times New Roman"/>
          <w:color w:val="000000" w:themeColor="text1"/>
        </w:rPr>
        <w:t>一、矿业权人基本情况</w:t>
      </w:r>
      <w:bookmarkEnd w:id="8"/>
    </w:p>
    <w:p w14:paraId="7F0E08EA">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矿权人</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，经济类型</w:t>
      </w:r>
      <w:r>
        <w:rPr>
          <w:rFonts w:hint="eastAsia" w:ascii="Times New Roman" w:hAnsi="Times New Roman" w:cs="Times New Roman"/>
          <w:color w:val="000000" w:themeColor="text1"/>
        </w:rPr>
        <w:t>私营企业</w:t>
      </w:r>
      <w:r>
        <w:rPr>
          <w:rFonts w:ascii="Times New Roman" w:hAnsi="Times New Roman" w:cs="Times New Roman"/>
          <w:color w:val="000000" w:themeColor="text1"/>
        </w:rPr>
        <w:t>。公司经营地址位于鸡西市鸡东县</w:t>
      </w:r>
      <w:r>
        <w:rPr>
          <w:rFonts w:hint="eastAsia" w:ascii="Times New Roman" w:hAnsi="Times New Roman" w:cs="Times New Roman"/>
          <w:color w:val="000000" w:themeColor="text1"/>
        </w:rPr>
        <w:t>永安镇</w:t>
      </w:r>
      <w:r>
        <w:rPr>
          <w:rFonts w:ascii="Times New Roman" w:hAnsi="Times New Roman" w:cs="Times New Roman"/>
          <w:color w:val="000000" w:themeColor="text1"/>
        </w:rPr>
        <w:t>。</w:t>
      </w:r>
    </w:p>
    <w:p w14:paraId="287F9C97">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矿山采矿权人：</w:t>
      </w:r>
      <w:r>
        <w:rPr>
          <w:rFonts w:hint="eastAsia" w:ascii="Times New Roman" w:hAnsi="Times New Roman" w:cs="Times New Roman"/>
          <w:color w:val="000000" w:themeColor="text1"/>
        </w:rPr>
        <w:t>鸡东县永平采石场</w:t>
      </w:r>
    </w:p>
    <w:p w14:paraId="2F7065FA">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矿山地址：鸡西市鸡东县</w:t>
      </w:r>
      <w:r>
        <w:rPr>
          <w:rFonts w:hint="eastAsia" w:ascii="Times New Roman" w:hAnsi="Times New Roman" w:cs="Times New Roman"/>
          <w:color w:val="000000" w:themeColor="text1"/>
        </w:rPr>
        <w:t>永安镇</w:t>
      </w:r>
    </w:p>
    <w:p w14:paraId="5D3F9DF0">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矿山名称：</w:t>
      </w:r>
      <w:r>
        <w:rPr>
          <w:rFonts w:hint="eastAsia" w:ascii="Times New Roman" w:hAnsi="Times New Roman" w:cs="Times New Roman"/>
          <w:color w:val="000000" w:themeColor="text1"/>
        </w:rPr>
        <w:t>鸡东县永平采石场</w:t>
      </w:r>
    </w:p>
    <w:p w14:paraId="4703DCFE">
      <w:pPr>
        <w:pStyle w:val="178"/>
        <w:topLinePunct/>
        <w:rPr>
          <w:rFonts w:ascii="Times New Roman" w:hAnsi="Times New Roman" w:cs="Times New Roman"/>
          <w:color w:val="000000" w:themeColor="text1"/>
        </w:rPr>
      </w:pPr>
      <w:r>
        <w:rPr>
          <w:rFonts w:ascii="Times New Roman" w:hAnsi="Times New Roman" w:cs="Times New Roman"/>
          <w:color w:val="000000" w:themeColor="text1"/>
        </w:rPr>
        <w:t>经济类型：私营企业</w:t>
      </w:r>
    </w:p>
    <w:p w14:paraId="1779A2EB">
      <w:pPr>
        <w:pStyle w:val="178"/>
        <w:topLinePunct/>
        <w:rPr>
          <w:rFonts w:ascii="Times New Roman" w:hAnsi="Times New Roman" w:cs="Times New Roman"/>
          <w:color w:val="000000" w:themeColor="text1"/>
        </w:rPr>
      </w:pPr>
      <w:r>
        <w:rPr>
          <w:rFonts w:ascii="Times New Roman" w:hAnsi="Times New Roman" w:cs="Times New Roman"/>
          <w:color w:val="000000" w:themeColor="text1"/>
        </w:rPr>
        <w:t>开采矿种：</w:t>
      </w:r>
      <w:r>
        <w:rPr>
          <w:rFonts w:hint="eastAsia" w:ascii="Times New Roman" w:hAnsi="Times New Roman" w:cs="Times New Roman"/>
          <w:color w:val="000000" w:themeColor="text1"/>
        </w:rPr>
        <w:t>建筑用玄武岩</w:t>
      </w:r>
    </w:p>
    <w:p w14:paraId="65156891">
      <w:pPr>
        <w:pStyle w:val="178"/>
        <w:topLinePunct/>
        <w:rPr>
          <w:rFonts w:ascii="Times New Roman" w:hAnsi="Times New Roman" w:cs="Times New Roman"/>
          <w:color w:val="000000" w:themeColor="text1"/>
        </w:rPr>
      </w:pPr>
      <w:r>
        <w:rPr>
          <w:rFonts w:ascii="Times New Roman" w:hAnsi="Times New Roman" w:cs="Times New Roman"/>
          <w:color w:val="000000" w:themeColor="text1"/>
        </w:rPr>
        <w:t>开采方式：露天开采</w:t>
      </w:r>
    </w:p>
    <w:p w14:paraId="6ED7EE9C">
      <w:pPr>
        <w:pStyle w:val="178"/>
        <w:topLinePunct/>
        <w:rPr>
          <w:rFonts w:ascii="Times New Roman" w:hAnsi="Times New Roman" w:cs="Times New Roman"/>
          <w:color w:val="000000" w:themeColor="text1"/>
        </w:rPr>
      </w:pPr>
      <w:r>
        <w:rPr>
          <w:rFonts w:ascii="Times New Roman" w:hAnsi="Times New Roman" w:cs="Times New Roman"/>
          <w:color w:val="000000" w:themeColor="text1"/>
        </w:rPr>
        <w:t>生产规模：</w:t>
      </w:r>
      <w:r>
        <w:rPr>
          <w:rFonts w:hint="eastAsia" w:ascii="Times New Roman" w:hAnsi="Times New Roman" w:cs="Times New Roman"/>
          <w:color w:val="000000" w:themeColor="text1"/>
        </w:rPr>
        <w:t>7.00万</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/年</w:t>
      </w:r>
    </w:p>
    <w:p w14:paraId="3153279D">
      <w:pPr>
        <w:pStyle w:val="178"/>
        <w:topLinePunct/>
        <w:rPr>
          <w:rFonts w:hint="eastAsia" w:ascii="Times New Roman" w:hAnsi="Times New Roman" w:eastAsia="宋体" w:cs="Times New Roman"/>
          <w:color w:val="000000" w:themeColor="text1"/>
          <w:lang w:eastAsia="zh-CN"/>
        </w:rPr>
      </w:pPr>
      <w:r>
        <w:rPr>
          <w:rFonts w:ascii="Times New Roman" w:hAnsi="Times New Roman" w:cs="Times New Roman"/>
          <w:color w:val="000000" w:themeColor="text1"/>
        </w:rPr>
        <w:t>矿区面积：0.</w:t>
      </w:r>
      <w:r>
        <w:rPr>
          <w:rFonts w:hint="eastAsia" w:ascii="Times New Roman" w:hAnsi="Times New Roman" w:cs="Times New Roman"/>
          <w:color w:val="000000" w:themeColor="text1"/>
        </w:rPr>
        <w:t>1599</w:t>
      </w:r>
      <w:r>
        <w:rPr>
          <w:rFonts w:ascii="Times New Roman" w:hAnsi="Times New Roman" w:cs="Times New Roman"/>
          <w:color w:val="000000" w:themeColor="text1"/>
        </w:rPr>
        <w:t>k</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p>
    <w:p w14:paraId="14DA444F">
      <w:pPr>
        <w:pStyle w:val="174"/>
        <w:topLinePunct/>
        <w:rPr>
          <w:rFonts w:ascii="Times New Roman" w:hAnsi="Times New Roman" w:cs="Times New Roman"/>
          <w:color w:val="000000" w:themeColor="text1"/>
        </w:rPr>
      </w:pPr>
      <w:bookmarkStart w:id="9" w:name="_Toc15150"/>
      <w:r>
        <w:rPr>
          <w:rFonts w:ascii="Times New Roman" w:hAnsi="Times New Roman" w:cs="Times New Roman"/>
          <w:color w:val="000000" w:themeColor="text1"/>
        </w:rPr>
        <w:t>二、地理位置与区域概况</w:t>
      </w:r>
      <w:bookmarkEnd w:id="9"/>
    </w:p>
    <w:p w14:paraId="0E382E02">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（一）交通状况</w:t>
      </w:r>
    </w:p>
    <w:p w14:paraId="7D239466">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位于鸡东县永安镇北二锅盔山，行政区划属鸡东县</w:t>
      </w:r>
      <w:r>
        <w:rPr>
          <w:rFonts w:hint="eastAsia" w:ascii="Times New Roman" w:hAnsi="Times New Roman" w:cs="Times New Roman"/>
          <w:color w:val="000000" w:themeColor="text1"/>
        </w:rPr>
        <w:t>永安镇</w:t>
      </w:r>
      <w:r>
        <w:rPr>
          <w:rFonts w:ascii="Times New Roman" w:hAnsi="Times New Roman" w:cs="Times New Roman"/>
          <w:color w:val="000000" w:themeColor="text1"/>
        </w:rPr>
        <w:t>管辖，中心地理坐标：东经131°21′30″，北纬45°20′46″。该采石场南距方虎公路1.5公里，交通便利。</w:t>
      </w:r>
    </w:p>
    <w:p w14:paraId="70BF970F">
      <w:pPr>
        <w:pStyle w:val="178"/>
        <w:topLinePunct/>
        <w:ind w:firstLine="0" w:firstLineChars="0"/>
        <w:jc w:val="center"/>
        <w:rPr>
          <w:rFonts w:ascii="Times New Roman" w:hAnsi="Times New Roman" w:cs="Times New Roman"/>
          <w:color w:val="000000" w:themeColor="text1"/>
        </w:rPr>
      </w:pPr>
      <w:r>
        <w:rPr>
          <w:rFonts w:ascii="Times New Roman" w:hAnsi="Times New Roman" w:cs="Times New Roman"/>
          <w:color w:val="000000" w:themeColor="text1"/>
        </w:rPr>
        <w:drawing>
          <wp:inline distT="0" distB="0" distL="114300" distR="114300">
            <wp:extent cx="5488305" cy="7961630"/>
            <wp:effectExtent l="0" t="0" r="17145" b="1270"/>
            <wp:docPr id="9" name="图片 1" descr="w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wz1"/>
                    <pic:cNvPicPr>
                      <a:picLocks noChangeAspect="1"/>
                    </pic:cNvPicPr>
                  </pic:nvPicPr>
                  <pic:blipFill>
                    <a:blip r:embed="rId9"/>
                    <a:stretch>
                      <a:fillRect/>
                    </a:stretch>
                  </pic:blipFill>
                  <pic:spPr>
                    <a:xfrm>
                      <a:off x="0" y="0"/>
                      <a:ext cx="5488305" cy="7961630"/>
                    </a:xfrm>
                    <a:prstGeom prst="rect">
                      <a:avLst/>
                    </a:prstGeom>
                    <a:noFill/>
                    <a:ln>
                      <a:noFill/>
                    </a:ln>
                  </pic:spPr>
                </pic:pic>
              </a:graphicData>
            </a:graphic>
          </wp:inline>
        </w:drawing>
      </w:r>
    </w:p>
    <w:p w14:paraId="076874E9">
      <w:pPr>
        <w:tabs>
          <w:tab w:val="left" w:pos="7035"/>
        </w:tabs>
        <w:topLinePunct/>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图1-1矿区交通位置图</w:t>
      </w:r>
    </w:p>
    <w:p w14:paraId="497261E5">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（二）周边环境关系</w:t>
      </w:r>
    </w:p>
    <w:p w14:paraId="26BEC55D">
      <w:pPr>
        <w:pStyle w:val="178"/>
        <w:topLinePunct/>
        <w:rPr>
          <w:rFonts w:ascii="Times New Roman" w:hAnsi="Times New Roman" w:cs="Times New Roman"/>
          <w:color w:val="000000" w:themeColor="text1"/>
          <w:highlight w:val="yellow"/>
        </w:rPr>
      </w:pP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位于鸡东县永安镇北二锅盔山。其具体位置关系如下：</w:t>
      </w:r>
    </w:p>
    <w:p w14:paraId="68C828E5">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地处永安镇北部的二锅盔山丘陵地带，周边环境关系特征明显。行政归属上，矿区土地涉及永安镇永红村和永平村永久村民组，最近居民点位于矿区南侧约数百米处，属零散农户聚居区。自然地理环境上，矿区位于山脊坡地，东、西、北三面被丘陵山地环绕，地表植被以次生林和灌草丛为主；南侧地势渐缓，逐步过渡为农业耕作区。矿区范围内无常流地表水系，属典型的山坡地貌。重要基础设施方面，南侧1.5公里处的方虎公路是需重点关注的交通干线，矿山作业必须确保其安全通行并控制相关影响。生态敏感程度上，经核查确认，矿区及毗邻区域不涉及自然保护区、饮用水源保护区、生态保护红线等法定禁止或限制开发区，周边林地、草地属一般生态空间。但邻近的耕地资源需要予以特别保护，避免开采活动造成污染或破坏。总体而言，矿区地理位置相对独立，但与周边村庄、农田和交通干线存在密切的空间关系，在矿山开发与生态修复过程中必须建立和谐的邻里关系。</w:t>
      </w:r>
    </w:p>
    <w:p w14:paraId="3929DF66">
      <w:pPr>
        <w:pStyle w:val="174"/>
        <w:topLinePunct/>
        <w:rPr>
          <w:rFonts w:ascii="Times New Roman" w:hAnsi="Times New Roman" w:cs="Times New Roman"/>
          <w:color w:val="000000" w:themeColor="text1"/>
        </w:rPr>
      </w:pPr>
      <w:bookmarkStart w:id="10" w:name="_Toc11377"/>
      <w:r>
        <w:rPr>
          <w:rFonts w:ascii="Times New Roman" w:hAnsi="Times New Roman" w:cs="Times New Roman"/>
          <w:color w:val="000000" w:themeColor="text1"/>
        </w:rPr>
        <w:t>三、矿山开采历史及现状</w:t>
      </w:r>
      <w:bookmarkEnd w:id="10"/>
    </w:p>
    <w:p w14:paraId="0E84F08B">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（一）矿山开采历史</w:t>
      </w:r>
    </w:p>
    <w:p w14:paraId="6676D975">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rPr>
        <w:t>矿山始建于2006年5月，初始名称为“鸡东县永安砂石站”，后于2016年6月变更为现名。矿山2020年进行了扩储，开采矿种始终为建筑用玄武岩。</w:t>
      </w:r>
    </w:p>
    <w:p w14:paraId="40ED8F81">
      <w:pPr>
        <w:pStyle w:val="178"/>
        <w:topLinePunct/>
        <w:rPr>
          <w:rFonts w:ascii="Times New Roman" w:hAnsi="Times New Roman" w:cs="Times New Roman"/>
          <w:color w:val="000000" w:themeColor="text1"/>
          <w:lang w:val="zh-CN"/>
        </w:rPr>
      </w:pPr>
      <w:r>
        <w:rPr>
          <w:rFonts w:ascii="Times New Roman" w:hAnsi="Times New Roman" w:cs="Times New Roman"/>
          <w:color w:val="000000" w:themeColor="text1"/>
        </w:rPr>
        <w:t>根据《 鸡东县永平采石场（扩大区）玄武岩资源/储量核实报告》，并经专家评审备案，2020年3月对该采石场进行扩大区资源储量核实工作，截止2020年3月15日，共求得建筑用玄武岩资源/储量为2925967</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，其中可采储量为2253164</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。其中原矿区剩余可采储量为514799</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，本次扩大区可采储量为1738365</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。边坡占用197307</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，覆盖层占用245581立方米，风化破碎不可采储量229915</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。全部为推断的内蕴经济资源量（333）。</w:t>
      </w:r>
    </w:p>
    <w:p w14:paraId="06572E94">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（二）矿山开采现状</w:t>
      </w:r>
    </w:p>
    <w:p w14:paraId="39B96464">
      <w:pPr>
        <w:pStyle w:val="178"/>
        <w:topLinePunct/>
        <w:rPr>
          <w:rFonts w:ascii="Times New Roman" w:hAnsi="Times New Roman" w:cs="Times New Roman"/>
          <w:color w:val="000000" w:themeColor="text1"/>
          <w:highlight w:val="yellow"/>
        </w:rPr>
      </w:pP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矿权人</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，采矿许可证号：</w:t>
      </w:r>
      <w:r>
        <w:rPr>
          <w:rFonts w:hint="eastAsia" w:ascii="Times New Roman" w:hAnsi="Times New Roman" w:cs="Times New Roman"/>
          <w:color w:val="000000" w:themeColor="text1"/>
        </w:rPr>
        <w:t>C2303002011117120119849</w:t>
      </w:r>
      <w:r>
        <w:rPr>
          <w:rFonts w:ascii="Times New Roman" w:hAnsi="Times New Roman" w:cs="Times New Roman"/>
          <w:color w:val="000000" w:themeColor="text1"/>
        </w:rPr>
        <w:t>，有效期限：2021年12月29日-2031年12月29日，开采矿种：</w:t>
      </w:r>
      <w:r>
        <w:rPr>
          <w:rFonts w:hint="eastAsia" w:ascii="Times New Roman" w:hAnsi="Times New Roman" w:cs="Times New Roman"/>
          <w:color w:val="000000" w:themeColor="text1"/>
        </w:rPr>
        <w:t>建筑用玄武岩</w:t>
      </w:r>
      <w:r>
        <w:rPr>
          <w:rFonts w:ascii="Times New Roman" w:hAnsi="Times New Roman" w:cs="Times New Roman"/>
          <w:color w:val="000000" w:themeColor="text1"/>
        </w:rPr>
        <w:t>，生产规模：</w:t>
      </w:r>
      <w:r>
        <w:rPr>
          <w:rFonts w:hint="eastAsia" w:ascii="Times New Roman" w:hAnsi="Times New Roman" w:cs="Times New Roman"/>
          <w:color w:val="000000" w:themeColor="text1"/>
        </w:rPr>
        <w:t>7.00万</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/年，矿区面积：</w:t>
      </w:r>
      <w:r>
        <w:rPr>
          <w:rFonts w:hint="eastAsia" w:ascii="Times New Roman" w:hAnsi="Times New Roman" w:cs="Times New Roman"/>
          <w:color w:val="000000" w:themeColor="text1"/>
        </w:rPr>
        <w:t>0.1599k</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。矿区坐标采用2000国家大地坐标系，划定矿区范围见下表：</w:t>
      </w:r>
    </w:p>
    <w:p w14:paraId="421C3E8E">
      <w:pPr>
        <w:pStyle w:val="182"/>
        <w:topLinePunct/>
        <w:ind w:firstLine="0" w:firstLineChars="0"/>
        <w:rPr>
          <w:rFonts w:ascii="Times New Roman" w:hAnsi="Times New Roman"/>
          <w:color w:val="000000" w:themeColor="text1"/>
        </w:rPr>
      </w:pPr>
      <w:r>
        <w:rPr>
          <w:rFonts w:ascii="Times New Roman" w:hAnsi="Times New Roman"/>
          <w:color w:val="000000" w:themeColor="text1"/>
        </w:rPr>
        <w:t>表1-1 矿区范围拐点坐标表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312"/>
        <w:gridCol w:w="3793"/>
        <w:gridCol w:w="3995"/>
      </w:tblGrid>
      <w:tr w14:paraId="522CD4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trPr>
        <w:tc>
          <w:tcPr>
            <w:tcW w:w="721" w:type="pct"/>
            <w:vMerge w:val="restart"/>
            <w:noWrap/>
            <w:vAlign w:val="center"/>
          </w:tcPr>
          <w:p w14:paraId="4A41626E">
            <w:pPr>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点号</w:t>
            </w:r>
          </w:p>
        </w:tc>
        <w:tc>
          <w:tcPr>
            <w:tcW w:w="4279" w:type="pct"/>
            <w:gridSpan w:val="2"/>
            <w:vAlign w:val="center"/>
          </w:tcPr>
          <w:p w14:paraId="2C1FF79F">
            <w:pPr>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坐         标</w:t>
            </w:r>
          </w:p>
        </w:tc>
      </w:tr>
      <w:tr w14:paraId="267BAF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trPr>
        <w:tc>
          <w:tcPr>
            <w:tcW w:w="721" w:type="pct"/>
            <w:vMerge w:val="continue"/>
            <w:noWrap/>
            <w:vAlign w:val="center"/>
          </w:tcPr>
          <w:p w14:paraId="70757DA7">
            <w:pPr>
              <w:topLinePunct/>
              <w:snapToGrid w:val="0"/>
              <w:spacing w:line="240" w:lineRule="auto"/>
              <w:jc w:val="center"/>
              <w:rPr>
                <w:rFonts w:ascii="Times New Roman" w:hAnsi="Times New Roman" w:cs="Times New Roman"/>
                <w:b/>
                <w:color w:val="000000" w:themeColor="text1"/>
                <w:kern w:val="0"/>
                <w:sz w:val="24"/>
                <w:szCs w:val="24"/>
              </w:rPr>
            </w:pPr>
          </w:p>
        </w:tc>
        <w:tc>
          <w:tcPr>
            <w:tcW w:w="2084" w:type="pct"/>
            <w:noWrap/>
            <w:vAlign w:val="center"/>
          </w:tcPr>
          <w:p w14:paraId="2605858C">
            <w:pPr>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X</w:t>
            </w:r>
          </w:p>
        </w:tc>
        <w:tc>
          <w:tcPr>
            <w:tcW w:w="2195" w:type="pct"/>
            <w:noWrap/>
            <w:vAlign w:val="center"/>
          </w:tcPr>
          <w:p w14:paraId="5C878712">
            <w:pPr>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Y</w:t>
            </w:r>
          </w:p>
        </w:tc>
      </w:tr>
      <w:tr w14:paraId="7D589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7B512097">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w:t>
            </w:r>
          </w:p>
        </w:tc>
        <w:tc>
          <w:tcPr>
            <w:tcW w:w="3793" w:type="dxa"/>
            <w:noWrap/>
            <w:vAlign w:val="center"/>
          </w:tcPr>
          <w:p w14:paraId="27AFEBCE">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5025035.39 </w:t>
            </w:r>
          </w:p>
        </w:tc>
        <w:tc>
          <w:tcPr>
            <w:tcW w:w="3995" w:type="dxa"/>
            <w:noWrap/>
            <w:vAlign w:val="center"/>
          </w:tcPr>
          <w:p w14:paraId="070F8044">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44456230.82 </w:t>
            </w:r>
          </w:p>
        </w:tc>
      </w:tr>
      <w:tr w14:paraId="0C6116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26E5F4DE">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w:t>
            </w:r>
          </w:p>
        </w:tc>
        <w:tc>
          <w:tcPr>
            <w:tcW w:w="3793" w:type="dxa"/>
            <w:noWrap/>
            <w:vAlign w:val="center"/>
          </w:tcPr>
          <w:p w14:paraId="679FE199">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5025066.17 </w:t>
            </w:r>
          </w:p>
        </w:tc>
        <w:tc>
          <w:tcPr>
            <w:tcW w:w="3995" w:type="dxa"/>
            <w:noWrap/>
            <w:vAlign w:val="center"/>
          </w:tcPr>
          <w:p w14:paraId="5FDC631C">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44456333.76 </w:t>
            </w:r>
          </w:p>
        </w:tc>
      </w:tr>
      <w:tr w14:paraId="605330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14416718">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3</w:t>
            </w:r>
          </w:p>
        </w:tc>
        <w:tc>
          <w:tcPr>
            <w:tcW w:w="3793" w:type="dxa"/>
            <w:noWrap/>
            <w:vAlign w:val="center"/>
          </w:tcPr>
          <w:p w14:paraId="087BA4C0">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5025068.26 </w:t>
            </w:r>
          </w:p>
        </w:tc>
        <w:tc>
          <w:tcPr>
            <w:tcW w:w="3995" w:type="dxa"/>
            <w:noWrap/>
            <w:vAlign w:val="center"/>
          </w:tcPr>
          <w:p w14:paraId="5A376E80">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44456485.16 </w:t>
            </w:r>
          </w:p>
        </w:tc>
      </w:tr>
      <w:tr w14:paraId="49C112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21416E49">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4</w:t>
            </w:r>
          </w:p>
        </w:tc>
        <w:tc>
          <w:tcPr>
            <w:tcW w:w="3793" w:type="dxa"/>
            <w:noWrap/>
            <w:vAlign w:val="center"/>
          </w:tcPr>
          <w:p w14:paraId="4919321A">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5024830.79 </w:t>
            </w:r>
          </w:p>
        </w:tc>
        <w:tc>
          <w:tcPr>
            <w:tcW w:w="3995" w:type="dxa"/>
            <w:noWrap/>
            <w:vAlign w:val="center"/>
          </w:tcPr>
          <w:p w14:paraId="6543172F">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44456545.04 </w:t>
            </w:r>
          </w:p>
        </w:tc>
      </w:tr>
      <w:tr w14:paraId="5620D5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7DB3ED7E">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5</w:t>
            </w:r>
          </w:p>
        </w:tc>
        <w:tc>
          <w:tcPr>
            <w:tcW w:w="3793" w:type="dxa"/>
            <w:noWrap/>
            <w:vAlign w:val="center"/>
          </w:tcPr>
          <w:p w14:paraId="5FFE6CCC">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5024800.55 </w:t>
            </w:r>
          </w:p>
        </w:tc>
        <w:tc>
          <w:tcPr>
            <w:tcW w:w="3995" w:type="dxa"/>
            <w:noWrap/>
            <w:vAlign w:val="center"/>
          </w:tcPr>
          <w:p w14:paraId="3B8E06FE">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44456520.92 </w:t>
            </w:r>
          </w:p>
        </w:tc>
      </w:tr>
      <w:tr w14:paraId="1A61B1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3338465A">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6</w:t>
            </w:r>
          </w:p>
        </w:tc>
        <w:tc>
          <w:tcPr>
            <w:tcW w:w="3793" w:type="dxa"/>
            <w:noWrap/>
            <w:vAlign w:val="center"/>
          </w:tcPr>
          <w:p w14:paraId="7DECDD18">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5024710.58 </w:t>
            </w:r>
          </w:p>
        </w:tc>
        <w:tc>
          <w:tcPr>
            <w:tcW w:w="3995" w:type="dxa"/>
            <w:noWrap/>
            <w:vAlign w:val="center"/>
          </w:tcPr>
          <w:p w14:paraId="00693C07">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44456447.46 </w:t>
            </w:r>
          </w:p>
        </w:tc>
      </w:tr>
      <w:tr w14:paraId="6DE0FA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69D6DE44">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7</w:t>
            </w:r>
          </w:p>
        </w:tc>
        <w:tc>
          <w:tcPr>
            <w:tcW w:w="3793" w:type="dxa"/>
            <w:noWrap/>
            <w:vAlign w:val="center"/>
          </w:tcPr>
          <w:p w14:paraId="52BE0995">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5024648.67 </w:t>
            </w:r>
          </w:p>
        </w:tc>
        <w:tc>
          <w:tcPr>
            <w:tcW w:w="3995" w:type="dxa"/>
            <w:noWrap/>
            <w:vAlign w:val="center"/>
          </w:tcPr>
          <w:p w14:paraId="4C38C7AF">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44456354.01 </w:t>
            </w:r>
          </w:p>
        </w:tc>
      </w:tr>
      <w:tr w14:paraId="331AB2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658AF20F">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8</w:t>
            </w:r>
          </w:p>
        </w:tc>
        <w:tc>
          <w:tcPr>
            <w:tcW w:w="3793" w:type="dxa"/>
            <w:noWrap/>
            <w:vAlign w:val="center"/>
          </w:tcPr>
          <w:p w14:paraId="6D4C73DF">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5024629.24 </w:t>
            </w:r>
          </w:p>
        </w:tc>
        <w:tc>
          <w:tcPr>
            <w:tcW w:w="3995" w:type="dxa"/>
            <w:noWrap/>
            <w:vAlign w:val="center"/>
          </w:tcPr>
          <w:p w14:paraId="612BD4CB">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44456312.06 </w:t>
            </w:r>
          </w:p>
        </w:tc>
      </w:tr>
      <w:tr w14:paraId="3B2042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09899371">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9</w:t>
            </w:r>
          </w:p>
        </w:tc>
        <w:tc>
          <w:tcPr>
            <w:tcW w:w="3793" w:type="dxa"/>
            <w:noWrap/>
            <w:vAlign w:val="center"/>
          </w:tcPr>
          <w:p w14:paraId="4D33DC24">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5024552.60 </w:t>
            </w:r>
          </w:p>
        </w:tc>
        <w:tc>
          <w:tcPr>
            <w:tcW w:w="3995" w:type="dxa"/>
            <w:noWrap/>
            <w:vAlign w:val="center"/>
          </w:tcPr>
          <w:p w14:paraId="408E7EF2">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44456265.50 </w:t>
            </w:r>
          </w:p>
        </w:tc>
      </w:tr>
      <w:tr w14:paraId="3480F5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5FA22946">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10</w:t>
            </w:r>
          </w:p>
        </w:tc>
        <w:tc>
          <w:tcPr>
            <w:tcW w:w="3793" w:type="dxa"/>
            <w:noWrap/>
            <w:vAlign w:val="center"/>
          </w:tcPr>
          <w:p w14:paraId="1CB38DFE">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5024554.20 </w:t>
            </w:r>
          </w:p>
        </w:tc>
        <w:tc>
          <w:tcPr>
            <w:tcW w:w="3995" w:type="dxa"/>
            <w:noWrap/>
            <w:vAlign w:val="center"/>
          </w:tcPr>
          <w:p w14:paraId="442C67EA">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44456195.54 </w:t>
            </w:r>
          </w:p>
        </w:tc>
      </w:tr>
      <w:tr w14:paraId="299916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2D6E8FF0">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11</w:t>
            </w:r>
          </w:p>
        </w:tc>
        <w:tc>
          <w:tcPr>
            <w:tcW w:w="3793" w:type="dxa"/>
            <w:noWrap/>
            <w:vAlign w:val="center"/>
          </w:tcPr>
          <w:p w14:paraId="6249E679">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5024576.29 </w:t>
            </w:r>
          </w:p>
        </w:tc>
        <w:tc>
          <w:tcPr>
            <w:tcW w:w="3995" w:type="dxa"/>
            <w:noWrap/>
            <w:vAlign w:val="center"/>
          </w:tcPr>
          <w:p w14:paraId="3E2D8403">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44456126.51 </w:t>
            </w:r>
          </w:p>
        </w:tc>
      </w:tr>
      <w:tr w14:paraId="2FD6A88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2997D8B3">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w:t>
            </w:r>
          </w:p>
        </w:tc>
        <w:tc>
          <w:tcPr>
            <w:tcW w:w="3793" w:type="dxa"/>
            <w:noWrap/>
            <w:vAlign w:val="center"/>
          </w:tcPr>
          <w:p w14:paraId="188700D2">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5024625.12 </w:t>
            </w:r>
          </w:p>
        </w:tc>
        <w:tc>
          <w:tcPr>
            <w:tcW w:w="3995" w:type="dxa"/>
            <w:noWrap/>
            <w:vAlign w:val="center"/>
          </w:tcPr>
          <w:p w14:paraId="468BD119">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44456089.60 </w:t>
            </w:r>
          </w:p>
        </w:tc>
      </w:tr>
      <w:tr w14:paraId="304109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4C17E3D8">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13</w:t>
            </w:r>
          </w:p>
        </w:tc>
        <w:tc>
          <w:tcPr>
            <w:tcW w:w="3793" w:type="dxa"/>
            <w:noWrap/>
            <w:vAlign w:val="center"/>
          </w:tcPr>
          <w:p w14:paraId="6571596D">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5024670.49 </w:t>
            </w:r>
          </w:p>
        </w:tc>
        <w:tc>
          <w:tcPr>
            <w:tcW w:w="3995" w:type="dxa"/>
            <w:noWrap/>
            <w:vAlign w:val="center"/>
          </w:tcPr>
          <w:p w14:paraId="4C863D8D">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44456085.95 </w:t>
            </w:r>
          </w:p>
        </w:tc>
      </w:tr>
      <w:tr w14:paraId="35FAA3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45FAEFDF">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14</w:t>
            </w:r>
          </w:p>
        </w:tc>
        <w:tc>
          <w:tcPr>
            <w:tcW w:w="3793" w:type="dxa"/>
            <w:noWrap/>
            <w:vAlign w:val="center"/>
          </w:tcPr>
          <w:p w14:paraId="210C6441">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5024815.41 </w:t>
            </w:r>
          </w:p>
        </w:tc>
        <w:tc>
          <w:tcPr>
            <w:tcW w:w="3995" w:type="dxa"/>
            <w:noWrap/>
            <w:vAlign w:val="center"/>
          </w:tcPr>
          <w:p w14:paraId="6B05A908">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44456092.88 </w:t>
            </w:r>
          </w:p>
        </w:tc>
      </w:tr>
      <w:tr w14:paraId="412731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3B3F631A">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w:t>
            </w:r>
          </w:p>
        </w:tc>
        <w:tc>
          <w:tcPr>
            <w:tcW w:w="3793" w:type="dxa"/>
            <w:noWrap/>
            <w:vAlign w:val="center"/>
          </w:tcPr>
          <w:p w14:paraId="4C48D757">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5024866.34 </w:t>
            </w:r>
          </w:p>
        </w:tc>
        <w:tc>
          <w:tcPr>
            <w:tcW w:w="3995" w:type="dxa"/>
            <w:noWrap/>
            <w:vAlign w:val="center"/>
          </w:tcPr>
          <w:p w14:paraId="7B47AB97">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44456139.88 </w:t>
            </w:r>
          </w:p>
        </w:tc>
      </w:tr>
      <w:tr w14:paraId="45219F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4838D7B0">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16</w:t>
            </w:r>
          </w:p>
        </w:tc>
        <w:tc>
          <w:tcPr>
            <w:tcW w:w="3793" w:type="dxa"/>
            <w:noWrap/>
            <w:vAlign w:val="center"/>
          </w:tcPr>
          <w:p w14:paraId="33CF0E29">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5024913.94 </w:t>
            </w:r>
          </w:p>
        </w:tc>
        <w:tc>
          <w:tcPr>
            <w:tcW w:w="3995" w:type="dxa"/>
            <w:noWrap/>
            <w:vAlign w:val="center"/>
          </w:tcPr>
          <w:p w14:paraId="60C1E19E">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44456203.01 </w:t>
            </w:r>
          </w:p>
        </w:tc>
      </w:tr>
      <w:tr w14:paraId="3E5049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57214E78">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17</w:t>
            </w:r>
          </w:p>
        </w:tc>
        <w:tc>
          <w:tcPr>
            <w:tcW w:w="3793" w:type="dxa"/>
            <w:noWrap/>
            <w:vAlign w:val="center"/>
          </w:tcPr>
          <w:p w14:paraId="7519A75B">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5024988.50 </w:t>
            </w:r>
          </w:p>
        </w:tc>
        <w:tc>
          <w:tcPr>
            <w:tcW w:w="3995" w:type="dxa"/>
            <w:noWrap/>
            <w:vAlign w:val="center"/>
          </w:tcPr>
          <w:p w14:paraId="55FD102D">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44456210.35 </w:t>
            </w:r>
          </w:p>
        </w:tc>
      </w:tr>
      <w:tr w14:paraId="439E97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9100" w:type="dxa"/>
            <w:gridSpan w:val="3"/>
            <w:noWrap/>
            <w:vAlign w:val="center"/>
          </w:tcPr>
          <w:p w14:paraId="176A18DD">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开采标高：2</w:t>
            </w:r>
            <w:r>
              <w:rPr>
                <w:rFonts w:hint="eastAsia" w:ascii="Times New Roman" w:hAnsi="Times New Roman" w:cs="Times New Roman"/>
                <w:color w:val="000000" w:themeColor="text1"/>
                <w:kern w:val="0"/>
                <w:sz w:val="24"/>
                <w:szCs w:val="24"/>
              </w:rPr>
              <w:t>94</w:t>
            </w:r>
            <w:r>
              <w:rPr>
                <w:rFonts w:ascii="Times New Roman" w:hAnsi="Times New Roman" w:cs="Times New Roman"/>
                <w:color w:val="000000" w:themeColor="text1"/>
                <w:kern w:val="0"/>
                <w:sz w:val="24"/>
                <w:szCs w:val="24"/>
              </w:rPr>
              <w:t>-</w:t>
            </w:r>
            <w:r>
              <w:rPr>
                <w:rFonts w:hint="eastAsia" w:ascii="Times New Roman" w:hAnsi="Times New Roman" w:cs="Times New Roman"/>
                <w:color w:val="000000" w:themeColor="text1"/>
                <w:kern w:val="0"/>
                <w:sz w:val="24"/>
                <w:szCs w:val="24"/>
              </w:rPr>
              <w:t>220</w:t>
            </w:r>
            <w:r>
              <w:rPr>
                <w:rFonts w:ascii="Times New Roman" w:hAnsi="Times New Roman" w:cs="Times New Roman"/>
                <w:color w:val="000000" w:themeColor="text1"/>
                <w:kern w:val="0"/>
                <w:sz w:val="24"/>
                <w:szCs w:val="24"/>
              </w:rPr>
              <w:t>m</w:t>
            </w:r>
          </w:p>
        </w:tc>
      </w:tr>
    </w:tbl>
    <w:p w14:paraId="4F2CDBCB">
      <w:pPr>
        <w:pStyle w:val="178"/>
        <w:topLinePunct/>
        <w:rPr>
          <w:rFonts w:ascii="Times New Roman" w:hAnsi="Times New Roman" w:cs="Times New Roman"/>
          <w:color w:val="000000" w:themeColor="text1"/>
        </w:rPr>
      </w:pPr>
    </w:p>
    <w:p w14:paraId="37D9FE0A">
      <w:pPr>
        <w:pStyle w:val="178"/>
        <w:topLinePunct/>
        <w:ind w:firstLine="0" w:firstLineChars="0"/>
        <w:rPr>
          <w:rFonts w:ascii="Times New Roman" w:hAnsi="Times New Roman" w:cs="Times New Roman"/>
          <w:color w:val="000000" w:themeColor="text1"/>
        </w:rPr>
      </w:pPr>
      <w:r>
        <w:rPr>
          <w:rFonts w:ascii="Times New Roman" w:hAnsi="Times New Roman" w:cs="Times New Roman"/>
          <w:color w:val="000000" w:themeColor="text1"/>
        </w:rPr>
        <w:drawing>
          <wp:inline distT="0" distB="0" distL="114300" distR="114300">
            <wp:extent cx="5756910" cy="5760085"/>
            <wp:effectExtent l="0" t="0" r="15240" b="12065"/>
            <wp:docPr id="1" name="图片 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1"/>
                    <pic:cNvPicPr>
                      <a:picLocks noChangeAspect="1"/>
                    </pic:cNvPicPr>
                  </pic:nvPicPr>
                  <pic:blipFill>
                    <a:blip r:embed="rId10"/>
                    <a:stretch>
                      <a:fillRect/>
                    </a:stretch>
                  </pic:blipFill>
                  <pic:spPr>
                    <a:xfrm>
                      <a:off x="0" y="0"/>
                      <a:ext cx="5756910" cy="5760085"/>
                    </a:xfrm>
                    <a:prstGeom prst="rect">
                      <a:avLst/>
                    </a:prstGeom>
                  </pic:spPr>
                </pic:pic>
              </a:graphicData>
            </a:graphic>
          </wp:inline>
        </w:drawing>
      </w:r>
    </w:p>
    <w:p w14:paraId="096DB137">
      <w:pPr>
        <w:pStyle w:val="182"/>
        <w:topLinePunct/>
        <w:ind w:firstLine="0" w:firstLineChars="0"/>
        <w:rPr>
          <w:rFonts w:ascii="Times New Roman" w:hAnsi="Times New Roman"/>
          <w:color w:val="000000" w:themeColor="text1"/>
        </w:rPr>
      </w:pPr>
      <w:r>
        <w:rPr>
          <w:rFonts w:ascii="Times New Roman" w:hAnsi="Times New Roman"/>
          <w:color w:val="000000" w:themeColor="text1"/>
        </w:rPr>
        <w:t>图1-2 矿区拐点坐标示意图</w:t>
      </w:r>
    </w:p>
    <w:p w14:paraId="345CCAAE">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（三）矿山开发利用概述</w:t>
      </w:r>
    </w:p>
    <w:p w14:paraId="10EACEB2">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1、生产规模</w:t>
      </w:r>
    </w:p>
    <w:p w14:paraId="6C0B5A27">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矿山采用露天开采方式，设计年生产规模</w:t>
      </w:r>
      <w:r>
        <w:rPr>
          <w:rFonts w:hint="eastAsia" w:ascii="Times New Roman" w:hAnsi="Times New Roman" w:cs="Times New Roman"/>
          <w:color w:val="000000" w:themeColor="text1"/>
        </w:rPr>
        <w:t>7.00万</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/年，依据DZ/T0223-2011《矿山地质环境保护与恢复治理方案编制规范》附录 D，确定该矿山生产建设规模为中型矿山。</w:t>
      </w:r>
    </w:p>
    <w:p w14:paraId="6E96BD16">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2、矿山工作制度</w:t>
      </w:r>
    </w:p>
    <w:p w14:paraId="09B84D7F">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根据有关技术规定和矿山开采条件，矿山采用连续工作制，年工作日为240天，其余125天为法定假日、设备检修及天气影响休息天数；按照设计年生产规模，每天工作1班（白班），每班工作8小时。</w:t>
      </w:r>
    </w:p>
    <w:p w14:paraId="3D356E56">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3、工程布局</w:t>
      </w:r>
    </w:p>
    <w:p w14:paraId="5BE5A9CA">
      <w:pPr>
        <w:pStyle w:val="178"/>
        <w:topLinePunct/>
        <w:rPr>
          <w:rFonts w:ascii="Times New Roman" w:hAnsi="Times New Roman" w:cs="Times New Roman"/>
          <w:color w:val="000000" w:themeColor="text1"/>
        </w:rPr>
      </w:pPr>
      <w:r>
        <w:rPr>
          <w:rFonts w:ascii="Times New Roman" w:hAnsi="Times New Roman" w:cs="Times New Roman"/>
          <w:color w:val="000000" w:themeColor="text1"/>
        </w:rPr>
        <w:t>项目区占地面积</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，矿区面积</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，排土场位于矿区范围内西北部；</w:t>
      </w:r>
      <w:r>
        <w:rPr>
          <w:rFonts w:hint="eastAsia" w:ascii="Times New Roman" w:hAnsi="Times New Roman" w:cs="Times New Roman"/>
          <w:color w:val="000000" w:themeColor="text1"/>
        </w:rPr>
        <w:t>石料开采后</w:t>
      </w:r>
      <w:r>
        <w:rPr>
          <w:rFonts w:ascii="Times New Roman" w:hAnsi="Times New Roman" w:cs="Times New Roman"/>
          <w:color w:val="000000" w:themeColor="text1"/>
        </w:rPr>
        <w:t>装载机装车直接运出矿区，矿区不单独设置工业广场。</w:t>
      </w:r>
    </w:p>
    <w:p w14:paraId="01B833F1">
      <w:pPr>
        <w:pStyle w:val="178"/>
        <w:topLinePunct/>
        <w:rPr>
          <w:rFonts w:ascii="Times New Roman" w:hAnsi="Times New Roman" w:cs="Times New Roman"/>
          <w:color w:val="000000" w:themeColor="text1"/>
        </w:rPr>
      </w:pPr>
      <w:r>
        <w:rPr>
          <w:rFonts w:ascii="Times New Roman" w:hAnsi="Times New Roman" w:cs="Times New Roman"/>
          <w:color w:val="000000" w:themeColor="text1"/>
        </w:rPr>
        <w:t>（1）采掘场</w:t>
      </w:r>
    </w:p>
    <w:p w14:paraId="4F5A42C6">
      <w:pPr>
        <w:pStyle w:val="178"/>
        <w:topLinePunct/>
        <w:rPr>
          <w:rFonts w:ascii="Times New Roman" w:hAnsi="Times New Roman" w:cs="Times New Roman"/>
          <w:color w:val="000000" w:themeColor="text1"/>
        </w:rPr>
      </w:pPr>
      <w:r>
        <w:rPr>
          <w:rFonts w:ascii="Times New Roman" w:hAnsi="Times New Roman" w:cs="Times New Roman"/>
          <w:color w:val="000000" w:themeColor="text1"/>
        </w:rPr>
        <w:t>采掘场为项目区主要用地，占地面积15.</w:t>
      </w:r>
      <w:r>
        <w:rPr>
          <w:rFonts w:hint="eastAsia" w:ascii="Times New Roman" w:hAnsi="Times New Roman" w:cs="Times New Roman"/>
          <w:color w:val="000000" w:themeColor="text1"/>
        </w:rPr>
        <w:t>63</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，建筑石料被开采出后，装载机装车直接运出矿区。</w:t>
      </w:r>
    </w:p>
    <w:p w14:paraId="3A194EE1">
      <w:pPr>
        <w:pStyle w:val="178"/>
        <w:topLinePunct/>
        <w:rPr>
          <w:rFonts w:ascii="Times New Roman" w:hAnsi="Times New Roman" w:cs="Times New Roman"/>
          <w:color w:val="000000" w:themeColor="text1"/>
        </w:rPr>
      </w:pPr>
      <w:r>
        <w:rPr>
          <w:rFonts w:ascii="Times New Roman" w:hAnsi="Times New Roman" w:cs="Times New Roman"/>
          <w:color w:val="000000" w:themeColor="text1"/>
        </w:rPr>
        <w:t>（2）排土场</w:t>
      </w:r>
    </w:p>
    <w:p w14:paraId="58BEEDE3">
      <w:pPr>
        <w:pStyle w:val="178"/>
        <w:topLinePunct/>
        <w:rPr>
          <w:rFonts w:ascii="Times New Roman" w:hAnsi="Times New Roman" w:cs="Times New Roman"/>
          <w:color w:val="000000" w:themeColor="text1"/>
        </w:rPr>
      </w:pPr>
      <w:r>
        <w:rPr>
          <w:rFonts w:ascii="Times New Roman" w:hAnsi="Times New Roman" w:cs="Times New Roman"/>
          <w:color w:val="000000" w:themeColor="text1"/>
        </w:rPr>
        <w:t>排土场设置在矿区西北部，占地面积0.</w:t>
      </w:r>
      <w:r>
        <w:rPr>
          <w:rFonts w:hint="eastAsia" w:ascii="Times New Roman" w:hAnsi="Times New Roman" w:cs="Times New Roman"/>
          <w:color w:val="000000" w:themeColor="text1"/>
        </w:rPr>
        <w:t>36</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，设计堆高5m，呈四棱台状，坡比 1:2，用于堆置剥离的表土和一般土方，排土场西侧堆置剥离的表土、排土场东侧堆置一般土方。</w:t>
      </w:r>
    </w:p>
    <w:p w14:paraId="3734C902">
      <w:pPr>
        <w:pStyle w:val="178"/>
        <w:topLinePunct/>
        <w:ind w:firstLine="0" w:firstLineChars="0"/>
        <w:rPr>
          <w:rFonts w:ascii="Times New Roman" w:hAnsi="Times New Roman" w:cs="Times New Roman"/>
          <w:color w:val="000000" w:themeColor="text1"/>
        </w:rPr>
      </w:pPr>
      <w:r>
        <w:rPr>
          <w:rFonts w:ascii="Times New Roman" w:hAnsi="Times New Roman" w:cs="Times New Roman"/>
          <w:color w:val="000000" w:themeColor="text1"/>
        </w:rPr>
        <w:drawing>
          <wp:inline distT="0" distB="0" distL="114300" distR="114300">
            <wp:extent cx="5756910" cy="5760085"/>
            <wp:effectExtent l="0" t="0" r="15240" b="12065"/>
            <wp:docPr id="5" name="图片 5"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2"/>
                    <pic:cNvPicPr>
                      <a:picLocks noChangeAspect="1"/>
                    </pic:cNvPicPr>
                  </pic:nvPicPr>
                  <pic:blipFill>
                    <a:blip r:embed="rId11" cstate="print"/>
                    <a:stretch>
                      <a:fillRect/>
                    </a:stretch>
                  </pic:blipFill>
                  <pic:spPr>
                    <a:xfrm>
                      <a:off x="0" y="0"/>
                      <a:ext cx="5756910" cy="5760085"/>
                    </a:xfrm>
                    <a:prstGeom prst="rect">
                      <a:avLst/>
                    </a:prstGeom>
                  </pic:spPr>
                </pic:pic>
              </a:graphicData>
            </a:graphic>
          </wp:inline>
        </w:drawing>
      </w:r>
    </w:p>
    <w:p w14:paraId="79811467">
      <w:pPr>
        <w:pStyle w:val="178"/>
        <w:topLinePunct/>
        <w:ind w:firstLine="487"/>
        <w:jc w:val="center"/>
        <w:rPr>
          <w:rFonts w:ascii="Times New Roman" w:hAnsi="Times New Roman" w:cs="Times New Roman"/>
          <w:color w:val="000000" w:themeColor="text1"/>
        </w:rPr>
      </w:pPr>
      <w:r>
        <w:rPr>
          <w:rFonts w:ascii="Times New Roman" w:hAnsi="Times New Roman" w:cs="Times New Roman"/>
          <w:b/>
          <w:color w:val="000000" w:themeColor="text1"/>
          <w:sz w:val="24"/>
          <w:szCs w:val="24"/>
        </w:rPr>
        <w:t>图1-3 矿山平面布置图</w:t>
      </w:r>
    </w:p>
    <w:p w14:paraId="0880E147">
      <w:pPr>
        <w:pStyle w:val="178"/>
        <w:topLinePunct/>
        <w:rPr>
          <w:rFonts w:ascii="Times New Roman" w:hAnsi="Times New Roman" w:cs="Times New Roman"/>
          <w:color w:val="000000" w:themeColor="text1"/>
        </w:rPr>
      </w:pPr>
      <w:r>
        <w:rPr>
          <w:rFonts w:ascii="Times New Roman" w:hAnsi="Times New Roman" w:cs="Times New Roman"/>
          <w:color w:val="000000" w:themeColor="text1"/>
        </w:rPr>
        <w:t>4、矿山开采</w:t>
      </w:r>
    </w:p>
    <w:p w14:paraId="0C38762A">
      <w:pPr>
        <w:pStyle w:val="178"/>
        <w:topLinePunct/>
        <w:rPr>
          <w:rFonts w:ascii="Times New Roman" w:hAnsi="Times New Roman" w:cs="Times New Roman"/>
          <w:color w:val="000000" w:themeColor="text1"/>
        </w:rPr>
      </w:pPr>
      <w:r>
        <w:rPr>
          <w:rFonts w:ascii="Times New Roman" w:hAnsi="Times New Roman" w:cs="Times New Roman"/>
          <w:color w:val="000000" w:themeColor="text1"/>
        </w:rPr>
        <w:t>（1）采剥工艺及方法</w:t>
      </w:r>
    </w:p>
    <w:p w14:paraId="24CF9C03">
      <w:pPr>
        <w:pStyle w:val="178"/>
        <w:topLinePunct/>
        <w:rPr>
          <w:rFonts w:ascii="Times New Roman" w:hAnsi="Times New Roman" w:cs="Times New Roman"/>
          <w:color w:val="000000" w:themeColor="text1"/>
        </w:rPr>
      </w:pPr>
      <w:r>
        <w:rPr>
          <w:rFonts w:ascii="Times New Roman" w:hAnsi="Times New Roman" w:cs="Times New Roman"/>
          <w:color w:val="000000" w:themeColor="text1"/>
        </w:rPr>
        <w:t>1）采剥工艺</w:t>
      </w:r>
    </w:p>
    <w:p w14:paraId="267735A6">
      <w:pPr>
        <w:pStyle w:val="178"/>
        <w:topLinePunct/>
        <w:rPr>
          <w:rFonts w:ascii="Times New Roman" w:hAnsi="Times New Roman" w:cs="Times New Roman"/>
          <w:color w:val="000000" w:themeColor="text1"/>
        </w:rPr>
      </w:pPr>
      <w:r>
        <w:rPr>
          <w:rFonts w:ascii="Times New Roman" w:hAnsi="Times New Roman" w:cs="Times New Roman"/>
          <w:color w:val="000000" w:themeColor="text1"/>
        </w:rPr>
        <w:t>开采工艺：第四系覆盖层，使用铲车剥离传堆，剥离物可用机械装车，汽车运至排土场。第四系剥离完毕后，采用空压机，凿岩机打孔，人工爆破松动落矿的采矿方法采矿。</w:t>
      </w:r>
    </w:p>
    <w:p w14:paraId="1A1465EB">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2）矿床开采</w:t>
      </w:r>
    </w:p>
    <w:p w14:paraId="2AD5DF39">
      <w:pPr>
        <w:pStyle w:val="178"/>
        <w:topLinePunct/>
        <w:rPr>
          <w:rFonts w:ascii="Times New Roman" w:hAnsi="Times New Roman" w:cs="Times New Roman"/>
          <w:color w:val="000000" w:themeColor="text1"/>
        </w:rPr>
      </w:pPr>
      <w:r>
        <w:rPr>
          <w:rFonts w:ascii="Times New Roman" w:hAnsi="Times New Roman" w:cs="Times New Roman"/>
          <w:color w:val="000000" w:themeColor="text1"/>
        </w:rPr>
        <w:t>因矿层已经出露地表，厚度大，地形较缓，矿区范围处于山顶高点，矿床开采底标高远高于当地侵蚀基准面之上，适合露天开采。</w:t>
      </w:r>
    </w:p>
    <w:p w14:paraId="6CB8C26A">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本次矿山开发利用方案仅限于划定矿区范围内。根据矿体特征，结合地形条件，经对开采境界的圈定，确定采场要素如下：</w:t>
      </w:r>
    </w:p>
    <w:p w14:paraId="5C7BA131">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（1）台段高度：20</w:t>
      </w:r>
      <w:r>
        <w:rPr>
          <w:rFonts w:hint="eastAsia" w:ascii="Times New Roman" w:hAnsi="Times New Roman" w:cs="Times New Roman"/>
          <w:color w:val="000000" w:themeColor="text1"/>
        </w:rPr>
        <w:t>m</w:t>
      </w:r>
      <w:r>
        <w:rPr>
          <w:rFonts w:ascii="Times New Roman" w:hAnsi="Times New Roman" w:cs="Times New Roman"/>
          <w:color w:val="000000" w:themeColor="text1"/>
        </w:rPr>
        <w:t>；</w:t>
      </w:r>
    </w:p>
    <w:p w14:paraId="26E2124F">
      <w:pPr>
        <w:pStyle w:val="178"/>
        <w:topLinePunct/>
        <w:rPr>
          <w:rFonts w:ascii="Times New Roman" w:hAnsi="Times New Roman" w:cs="Times New Roman"/>
          <w:color w:val="000000" w:themeColor="text1"/>
        </w:rPr>
      </w:pPr>
      <w:r>
        <w:rPr>
          <w:rFonts w:ascii="Times New Roman" w:hAnsi="Times New Roman" w:cs="Times New Roman"/>
          <w:color w:val="000000" w:themeColor="text1"/>
        </w:rPr>
        <w:t>（2）最低开采标高：220</w:t>
      </w:r>
      <w:r>
        <w:rPr>
          <w:rFonts w:hint="eastAsia" w:ascii="Times New Roman" w:hAnsi="Times New Roman" w:cs="Times New Roman"/>
          <w:color w:val="000000" w:themeColor="text1"/>
        </w:rPr>
        <w:t>m</w:t>
      </w:r>
      <w:r>
        <w:rPr>
          <w:rFonts w:ascii="Times New Roman" w:hAnsi="Times New Roman" w:cs="Times New Roman"/>
          <w:color w:val="000000" w:themeColor="text1"/>
        </w:rPr>
        <w:t>；</w:t>
      </w:r>
    </w:p>
    <w:p w14:paraId="1BF7E519">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（3）台阶阶段工作坡面角：70°；</w:t>
      </w:r>
    </w:p>
    <w:p w14:paraId="5DD95415">
      <w:pPr>
        <w:pStyle w:val="178"/>
        <w:topLinePunct/>
        <w:rPr>
          <w:rFonts w:ascii="Times New Roman" w:hAnsi="Times New Roman" w:cs="Times New Roman"/>
          <w:color w:val="000000" w:themeColor="text1"/>
        </w:rPr>
      </w:pPr>
      <w:r>
        <w:rPr>
          <w:rFonts w:ascii="Times New Roman" w:hAnsi="Times New Roman" w:cs="Times New Roman"/>
          <w:color w:val="000000" w:themeColor="text1"/>
        </w:rPr>
        <w:t>（4）开采终了帮坡角：60°</w:t>
      </w:r>
    </w:p>
    <w:p w14:paraId="7A164B08">
      <w:pPr>
        <w:pStyle w:val="178"/>
        <w:topLinePunct/>
        <w:rPr>
          <w:rFonts w:ascii="Times New Roman" w:hAnsi="Times New Roman" w:cs="Times New Roman"/>
          <w:color w:val="000000" w:themeColor="text1"/>
        </w:rPr>
      </w:pPr>
      <w:r>
        <w:rPr>
          <w:rFonts w:ascii="Times New Roman" w:hAnsi="Times New Roman" w:cs="Times New Roman"/>
          <w:color w:val="000000" w:themeColor="text1"/>
        </w:rPr>
        <w:t>（5）安全平台宽度：3</w:t>
      </w:r>
      <w:r>
        <w:rPr>
          <w:rFonts w:hint="eastAsia" w:ascii="Times New Roman" w:hAnsi="Times New Roman" w:cs="Times New Roman"/>
          <w:color w:val="000000" w:themeColor="text1"/>
        </w:rPr>
        <w:t>m</w:t>
      </w:r>
      <w:r>
        <w:rPr>
          <w:rFonts w:ascii="Times New Roman" w:hAnsi="Times New Roman" w:cs="Times New Roman"/>
          <w:color w:val="000000" w:themeColor="text1"/>
        </w:rPr>
        <w:t>；</w:t>
      </w:r>
    </w:p>
    <w:p w14:paraId="58814419">
      <w:pPr>
        <w:pStyle w:val="178"/>
        <w:topLinePunct/>
        <w:rPr>
          <w:rFonts w:ascii="Times New Roman" w:hAnsi="Times New Roman" w:cs="Times New Roman"/>
          <w:color w:val="000000" w:themeColor="text1"/>
        </w:rPr>
      </w:pPr>
      <w:r>
        <w:rPr>
          <w:rFonts w:ascii="Times New Roman" w:hAnsi="Times New Roman" w:cs="Times New Roman"/>
          <w:color w:val="000000" w:themeColor="text1"/>
        </w:rPr>
        <w:t>（7）最小底盘宽度：大于40</w:t>
      </w:r>
      <w:r>
        <w:rPr>
          <w:rFonts w:hint="eastAsia" w:ascii="Times New Roman" w:hAnsi="Times New Roman" w:cs="Times New Roman"/>
          <w:color w:val="000000" w:themeColor="text1"/>
        </w:rPr>
        <w:t>m</w:t>
      </w:r>
      <w:r>
        <w:rPr>
          <w:rFonts w:ascii="Times New Roman" w:hAnsi="Times New Roman" w:cs="Times New Roman"/>
          <w:color w:val="000000" w:themeColor="text1"/>
        </w:rPr>
        <w:t>；</w:t>
      </w:r>
    </w:p>
    <w:p w14:paraId="58A379C7">
      <w:pPr>
        <w:pStyle w:val="178"/>
        <w:topLinePunct/>
        <w:rPr>
          <w:rFonts w:hint="eastAsia" w:ascii="Times New Roman" w:hAnsi="Times New Roman" w:eastAsia="宋体" w:cs="Times New Roman"/>
          <w:color w:val="000000" w:themeColor="text1"/>
          <w:lang w:val="en-US" w:eastAsia="zh-CN"/>
        </w:rPr>
      </w:pPr>
      <w:r>
        <w:rPr>
          <w:rFonts w:ascii="Times New Roman" w:hAnsi="Times New Roman" w:cs="Times New Roman"/>
          <w:color w:val="000000" w:themeColor="text1"/>
        </w:rPr>
        <w:t>根据岩矿石稳固程度及开采深度，开采台阶高度定为14-20m较适宜，依次+294m～+280m、+280m～+260m、+260m～+240m、+240m～+220m。台阶阶段坡面角70°，安全平台宽度3m，清扫平台宽度6m，最终边坡角60°。矿山开拓生产开拓系统首先进行表土及风化层剥离，自上而下逐层开采。</w:t>
      </w:r>
      <w:r>
        <w:rPr>
          <w:rFonts w:hint="eastAsia" w:ascii="Times New Roman" w:hAnsi="Times New Roman" w:cs="Times New Roman"/>
          <w:color w:val="E36C09" w:themeColor="accent6" w:themeShade="BF"/>
          <w:lang w:val="en-US" w:eastAsia="zh-CN"/>
        </w:rPr>
        <w:t>至采矿终了，采区形成1个标高为</w:t>
      </w:r>
      <w:r>
        <w:rPr>
          <w:rFonts w:ascii="Times New Roman" w:hAnsi="Times New Roman" w:cs="Times New Roman"/>
          <w:color w:val="E36C09" w:themeColor="accent6" w:themeShade="BF"/>
        </w:rPr>
        <w:t>+240m</w:t>
      </w:r>
      <w:r>
        <w:rPr>
          <w:rFonts w:hint="eastAsia" w:ascii="Times New Roman" w:hAnsi="Times New Roman" w:cs="Times New Roman"/>
          <w:color w:val="E36C09" w:themeColor="accent6" w:themeShade="BF"/>
          <w:lang w:val="en-US" w:eastAsia="zh-CN"/>
        </w:rPr>
        <w:t>的开采平台，</w:t>
      </w:r>
      <w:r>
        <w:rPr>
          <w:rFonts w:hint="eastAsia" w:ascii="Times New Roman" w:hAnsi="Times New Roman" w:cs="Times New Roman"/>
          <w:color w:val="E36C09" w:themeColor="accent6" w:themeShade="BF"/>
        </w:rPr>
        <w:t>露天采场底部合围区</w:t>
      </w:r>
      <w:r>
        <w:rPr>
          <w:rFonts w:hint="eastAsia" w:ascii="Times New Roman" w:hAnsi="Times New Roman" w:cs="Times New Roman"/>
          <w:color w:val="E36C09" w:themeColor="accent6" w:themeShade="BF"/>
          <w:lang w:val="en-US" w:eastAsia="zh-CN"/>
        </w:rPr>
        <w:t>标高</w:t>
      </w:r>
      <w:r>
        <w:rPr>
          <w:rFonts w:ascii="Times New Roman" w:hAnsi="Times New Roman" w:cs="Times New Roman"/>
          <w:color w:val="E36C09" w:themeColor="accent6" w:themeShade="BF"/>
        </w:rPr>
        <w:t>+220m</w:t>
      </w:r>
      <w:r>
        <w:rPr>
          <w:rFonts w:hint="eastAsia" w:ascii="Times New Roman" w:hAnsi="Times New Roman" w:cs="Times New Roman"/>
          <w:color w:val="E36C09" w:themeColor="accent6" w:themeShade="BF"/>
          <w:lang w:eastAsia="zh-CN"/>
        </w:rPr>
        <w:t>。</w:t>
      </w:r>
    </w:p>
    <w:p w14:paraId="33DF9634">
      <w:pPr>
        <w:pStyle w:val="178"/>
        <w:topLinePunct/>
        <w:rPr>
          <w:rFonts w:ascii="Times New Roman" w:hAnsi="Times New Roman" w:cs="Times New Roman"/>
          <w:color w:val="000000" w:themeColor="text1"/>
        </w:rPr>
      </w:pPr>
      <w:r>
        <w:rPr>
          <w:rFonts w:ascii="Times New Roman" w:hAnsi="Times New Roman" w:cs="Times New Roman"/>
          <w:color w:val="000000" w:themeColor="text1"/>
        </w:rPr>
        <w:t>5、矿山开拓运输</w:t>
      </w:r>
    </w:p>
    <w:p w14:paraId="76DF19C9">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根据现有矿山的生产情况，矿山采出后，用挖掘机装车，汽车运输较为方便快捷。故采用公路运输方式，可以满足外运的需要。</w:t>
      </w:r>
    </w:p>
    <w:p w14:paraId="26DA53B1">
      <w:pPr>
        <w:pStyle w:val="178"/>
        <w:topLinePunct/>
        <w:rPr>
          <w:rFonts w:ascii="Times New Roman" w:hAnsi="Times New Roman" w:cs="Times New Roman"/>
          <w:color w:val="000000" w:themeColor="text1"/>
        </w:rPr>
      </w:pPr>
      <w:r>
        <w:rPr>
          <w:rFonts w:ascii="Times New Roman" w:hAnsi="Times New Roman" w:cs="Times New Roman"/>
          <w:color w:val="000000" w:themeColor="text1"/>
        </w:rPr>
        <w:t>6、排水处理</w:t>
      </w:r>
    </w:p>
    <w:p w14:paraId="3E67999F">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矿区最低开采标高220</w:t>
      </w:r>
      <w:r>
        <w:rPr>
          <w:rFonts w:hint="eastAsia" w:ascii="Times New Roman" w:hAnsi="Times New Roman" w:cs="Times New Roman"/>
          <w:color w:val="000000" w:themeColor="text1"/>
        </w:rPr>
        <w:t>m</w:t>
      </w:r>
      <w:r>
        <w:rPr>
          <w:rFonts w:ascii="Times New Roman" w:hAnsi="Times New Roman" w:cs="Times New Roman"/>
          <w:color w:val="000000" w:themeColor="text1"/>
        </w:rPr>
        <w:t>，高于当地最低侵蚀基准面标高。对于季节性地表水，在采矿场周围挖沟排水，按地形高差自然排泄。采矿场内的季节性降水，按地形高差自流排泄。地表水不会对开采造成影响和造成危害。</w:t>
      </w:r>
    </w:p>
    <w:p w14:paraId="6D165A14">
      <w:pPr>
        <w:pStyle w:val="178"/>
        <w:topLinePunct/>
        <w:rPr>
          <w:rFonts w:ascii="Times New Roman" w:hAnsi="Times New Roman" w:cs="Times New Roman"/>
          <w:color w:val="000000" w:themeColor="text1"/>
        </w:rPr>
      </w:pPr>
      <w:r>
        <w:rPr>
          <w:rFonts w:ascii="Times New Roman" w:hAnsi="Times New Roman" w:cs="Times New Roman"/>
          <w:color w:val="000000" w:themeColor="text1"/>
        </w:rPr>
        <w:t>为确保矿山安全生产，采取如下防治水措施：</w:t>
      </w:r>
    </w:p>
    <w:p w14:paraId="00D462AC">
      <w:pPr>
        <w:pStyle w:val="178"/>
        <w:topLinePunct/>
        <w:rPr>
          <w:rFonts w:ascii="Times New Roman" w:hAnsi="Times New Roman" w:cs="Times New Roman"/>
          <w:color w:val="000000" w:themeColor="text1"/>
        </w:rPr>
      </w:pPr>
      <w:r>
        <w:rPr>
          <w:rFonts w:ascii="Times New Roman" w:hAnsi="Times New Roman" w:cs="Times New Roman"/>
          <w:color w:val="000000" w:themeColor="text1"/>
        </w:rPr>
        <w:t>（1）露天采场山坡露天部分排水均可通过山坡自流排出，无需任何排水设备；</w:t>
      </w:r>
    </w:p>
    <w:p w14:paraId="1DB7911D">
      <w:pPr>
        <w:pStyle w:val="178"/>
        <w:topLinePunct/>
        <w:rPr>
          <w:rFonts w:ascii="Times New Roman" w:hAnsi="Times New Roman" w:cs="Times New Roman"/>
          <w:color w:val="000000" w:themeColor="text1"/>
        </w:rPr>
      </w:pPr>
      <w:r>
        <w:rPr>
          <w:rFonts w:ascii="Times New Roman" w:hAnsi="Times New Roman" w:cs="Times New Roman"/>
          <w:color w:val="000000" w:themeColor="text1"/>
        </w:rPr>
        <w:t>（2）为防止地表径流水进入露天采坑，在最终露天境界外靠近山坡设截水沟，以防雨水进入；</w:t>
      </w:r>
    </w:p>
    <w:p w14:paraId="3A4CFBD8">
      <w:pPr>
        <w:pStyle w:val="178"/>
        <w:topLinePunct/>
        <w:rPr>
          <w:rFonts w:ascii="Times New Roman" w:hAnsi="Times New Roman" w:cs="Times New Roman"/>
          <w:color w:val="000000" w:themeColor="text1"/>
        </w:rPr>
      </w:pPr>
      <w:r>
        <w:rPr>
          <w:rFonts w:ascii="Times New Roman" w:hAnsi="Times New Roman" w:cs="Times New Roman"/>
          <w:color w:val="000000" w:themeColor="text1"/>
        </w:rPr>
        <w:t>（3）矿区内主要含水层大理岩裂隙含水段由大气降水补给，以泉或地下径流的方式排泄，矿区附近无地表水体，最低矿床最低开采标高</w:t>
      </w:r>
      <w:r>
        <w:rPr>
          <w:rFonts w:hint="eastAsia" w:ascii="Times New Roman" w:hAnsi="Times New Roman" w:cs="Times New Roman"/>
          <w:color w:val="000000" w:themeColor="text1"/>
        </w:rPr>
        <w:t>220</w:t>
      </w:r>
      <w:r>
        <w:rPr>
          <w:rFonts w:ascii="Times New Roman" w:hAnsi="Times New Roman" w:cs="Times New Roman"/>
          <w:color w:val="000000" w:themeColor="text1"/>
        </w:rPr>
        <w:t>m位于当地侵蚀基准面标高1</w:t>
      </w:r>
      <w:r>
        <w:rPr>
          <w:rFonts w:hint="eastAsia" w:ascii="Times New Roman" w:hAnsi="Times New Roman" w:cs="Times New Roman"/>
          <w:color w:val="000000" w:themeColor="text1"/>
        </w:rPr>
        <w:t>9</w:t>
      </w:r>
      <w:r>
        <w:rPr>
          <w:rFonts w:ascii="Times New Roman" w:hAnsi="Times New Roman" w:cs="Times New Roman"/>
          <w:color w:val="000000" w:themeColor="text1"/>
        </w:rPr>
        <w:t>0m以上，地下水对矿床开采影响较小。矿床充水因素主要为大气降水补给，因此将来矿山开采过程中的涌水，主要是大气降水。</w:t>
      </w:r>
    </w:p>
    <w:p w14:paraId="1B78628A">
      <w:pPr>
        <w:pStyle w:val="178"/>
        <w:topLinePunct/>
        <w:rPr>
          <w:rFonts w:ascii="Times New Roman" w:hAnsi="Times New Roman" w:cs="Times New Roman"/>
          <w:color w:val="000000" w:themeColor="text1"/>
        </w:rPr>
      </w:pPr>
      <w:r>
        <w:rPr>
          <w:rFonts w:ascii="Times New Roman" w:hAnsi="Times New Roman" w:cs="Times New Roman"/>
          <w:color w:val="000000" w:themeColor="text1"/>
        </w:rPr>
        <w:t>（4）每年春季融雪、夏季降雨期来临之前，矿山应组织有关部门进行防治水检查。对截水沟、排水沟等防洪设施进行全面的检查，重点是各排水防洪设施是否完好，发现问题要立即解决；</w:t>
      </w:r>
    </w:p>
    <w:p w14:paraId="7CB4FA99">
      <w:pPr>
        <w:pStyle w:val="178"/>
        <w:topLinePunct/>
        <w:rPr>
          <w:rFonts w:ascii="Times New Roman" w:hAnsi="Times New Roman" w:cs="Times New Roman"/>
          <w:color w:val="000000" w:themeColor="text1"/>
        </w:rPr>
      </w:pPr>
      <w:r>
        <w:rPr>
          <w:rFonts w:ascii="Times New Roman" w:hAnsi="Times New Roman" w:cs="Times New Roman"/>
          <w:color w:val="000000" w:themeColor="text1"/>
        </w:rPr>
        <w:t>（5）加强水文地质调查工作，掌握较为准确的水文地质资料，要按期对采场涌水量进行测定，以利于采取相应的解决方法。</w:t>
      </w:r>
    </w:p>
    <w:p w14:paraId="6A0CFFD2">
      <w:pPr>
        <w:pStyle w:val="178"/>
        <w:topLinePunct/>
        <w:rPr>
          <w:rFonts w:ascii="Times New Roman" w:hAnsi="Times New Roman" w:cs="Times New Roman"/>
          <w:color w:val="000000" w:themeColor="text1"/>
        </w:rPr>
      </w:pPr>
      <w:r>
        <w:rPr>
          <w:rFonts w:ascii="Times New Roman" w:hAnsi="Times New Roman" w:cs="Times New Roman"/>
          <w:color w:val="000000" w:themeColor="text1"/>
        </w:rPr>
        <w:t>（6）矿山应按设计要求建立排水系统。上方应设截水沟；矿山应加强防排水措施；遇超过设计防洪频率的洪水时，允许最低一个台阶临时淹没，淹没前应撤出一切人员和重要设备。</w:t>
      </w:r>
    </w:p>
    <w:p w14:paraId="77DC4E57">
      <w:pPr>
        <w:pStyle w:val="178"/>
        <w:topLinePunct/>
        <w:rPr>
          <w:rFonts w:ascii="Times New Roman" w:hAnsi="Times New Roman" w:cs="Times New Roman"/>
          <w:color w:val="000000" w:themeColor="text1"/>
        </w:rPr>
      </w:pPr>
      <w:r>
        <w:rPr>
          <w:rFonts w:ascii="Times New Roman" w:hAnsi="Times New Roman" w:cs="Times New Roman"/>
          <w:color w:val="000000" w:themeColor="text1"/>
        </w:rPr>
        <w:t>7、矿山污染处置措施</w:t>
      </w:r>
    </w:p>
    <w:p w14:paraId="16398030">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（1）粉尘治理措施</w:t>
      </w:r>
    </w:p>
    <w:p w14:paraId="135348A4">
      <w:pPr>
        <w:pStyle w:val="178"/>
        <w:topLinePunct/>
        <w:rPr>
          <w:rFonts w:ascii="Times New Roman" w:hAnsi="Times New Roman" w:cs="Times New Roman"/>
          <w:color w:val="000000" w:themeColor="text1"/>
        </w:rPr>
      </w:pPr>
      <w:r>
        <w:rPr>
          <w:rFonts w:ascii="Times New Roman" w:hAnsi="Times New Roman" w:cs="Times New Roman"/>
          <w:color w:val="000000" w:themeColor="text1"/>
        </w:rPr>
        <w:t>采、装、运、剥离覆盖层过程中产生的粉尘及凿岩产生的粉尘，采用喷淋撒水等控制粉尘飞扬。</w:t>
      </w:r>
    </w:p>
    <w:p w14:paraId="2F18F9F4">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（2）噪声治理措施</w:t>
      </w:r>
    </w:p>
    <w:p w14:paraId="4D9C543B">
      <w:pPr>
        <w:pStyle w:val="178"/>
        <w:topLinePunct/>
        <w:rPr>
          <w:rFonts w:ascii="Times New Roman" w:hAnsi="Times New Roman" w:cs="Times New Roman"/>
          <w:color w:val="000000" w:themeColor="text1"/>
        </w:rPr>
      </w:pPr>
      <w:r>
        <w:rPr>
          <w:rFonts w:ascii="Times New Roman" w:hAnsi="Times New Roman" w:cs="Times New Roman"/>
          <w:color w:val="000000" w:themeColor="text1"/>
        </w:rPr>
        <w:t>噪声源有挖掘机、装载机、汽车运输等。表土剥离后，汽车运至排土场，噪声对操作工的身体健康有一定影响。为保护身体健康，对操作装载机、破碎机等工人佩带隔声耳罩。</w:t>
      </w:r>
    </w:p>
    <w:p w14:paraId="61466350">
      <w:pPr>
        <w:pStyle w:val="178"/>
        <w:topLinePunct/>
        <w:rPr>
          <w:rFonts w:ascii="Times New Roman" w:hAnsi="Times New Roman" w:cs="Times New Roman"/>
          <w:color w:val="000000" w:themeColor="text1"/>
        </w:rPr>
      </w:pPr>
      <w:r>
        <w:rPr>
          <w:rFonts w:ascii="Times New Roman" w:hAnsi="Times New Roman" w:cs="Times New Roman"/>
          <w:color w:val="000000" w:themeColor="text1"/>
        </w:rPr>
        <w:t>（3）生活垃圾及污水治理措施</w:t>
      </w:r>
    </w:p>
    <w:p w14:paraId="16B6FCAC">
      <w:pPr>
        <w:pStyle w:val="178"/>
        <w:topLinePunct/>
        <w:rPr>
          <w:rFonts w:ascii="Times New Roman" w:hAnsi="Times New Roman" w:cs="Times New Roman"/>
          <w:color w:val="000000" w:themeColor="text1"/>
        </w:rPr>
      </w:pPr>
      <w:r>
        <w:rPr>
          <w:rFonts w:ascii="Times New Roman" w:hAnsi="Times New Roman" w:cs="Times New Roman"/>
          <w:color w:val="000000" w:themeColor="text1"/>
        </w:rPr>
        <w:t>污水来源主要为生产废水及生活污水。矿坑废水及生产、生活污水会对地下水环境造成一定程度的污染，但由于矿山地处山区，远离居民区，不会对地下水环境造成较大污染。生活遗弃地应远离水源。生活污物采用掩埋式，自然生化。</w:t>
      </w:r>
    </w:p>
    <w:p w14:paraId="7F0C813A">
      <w:pPr>
        <w:pStyle w:val="178"/>
        <w:topLinePunct/>
        <w:rPr>
          <w:rFonts w:ascii="Times New Roman" w:hAnsi="Times New Roman" w:cs="Times New Roman"/>
          <w:color w:val="000000" w:themeColor="text1"/>
        </w:rPr>
      </w:pPr>
      <w:r>
        <w:rPr>
          <w:rFonts w:ascii="Times New Roman" w:hAnsi="Times New Roman" w:cs="Times New Roman"/>
          <w:color w:val="000000" w:themeColor="text1"/>
        </w:rPr>
        <w:t>（4）固体废弃物处理措施</w:t>
      </w:r>
    </w:p>
    <w:p w14:paraId="31D26F5E">
      <w:pPr>
        <w:pStyle w:val="178"/>
        <w:topLinePunct/>
        <w:rPr>
          <w:rFonts w:ascii="Times New Roman" w:hAnsi="Times New Roman" w:cs="Times New Roman"/>
          <w:color w:val="000000" w:themeColor="text1"/>
        </w:rPr>
      </w:pPr>
      <w:r>
        <w:rPr>
          <w:rFonts w:ascii="Times New Roman" w:hAnsi="Times New Roman" w:cs="Times New Roman"/>
          <w:color w:val="000000" w:themeColor="text1"/>
        </w:rPr>
        <w:t>露天开采过程中产生的废石，堆置于废石场。本项目的废石堆场上游设截洪沟，下游设置拦渣坝和排水沟，避免废石被雨水冲走。施工期产出的废石、弃土建筑垃圾全部用于铺垫工业场地及道路。</w:t>
      </w:r>
    </w:p>
    <w:p w14:paraId="2EF14699">
      <w:pPr>
        <w:pStyle w:val="178"/>
        <w:topLinePunct/>
        <w:rPr>
          <w:rFonts w:ascii="Times New Roman" w:hAnsi="Times New Roman" w:cs="Times New Roman"/>
          <w:color w:val="000000" w:themeColor="text1"/>
        </w:rPr>
      </w:pPr>
      <w:r>
        <w:rPr>
          <w:rFonts w:ascii="Times New Roman" w:hAnsi="Times New Roman" w:cs="Times New Roman"/>
          <w:color w:val="000000" w:themeColor="text1"/>
        </w:rPr>
        <w:t>（5）对</w:t>
      </w:r>
      <w:r>
        <w:rPr>
          <w:rFonts w:hint="eastAsia" w:ascii="Times New Roman" w:hAnsi="Times New Roman" w:cs="Times New Roman"/>
          <w:color w:val="000000" w:themeColor="text1"/>
        </w:rPr>
        <w:t>草</w:t>
      </w:r>
      <w:r>
        <w:rPr>
          <w:rFonts w:ascii="Times New Roman" w:hAnsi="Times New Roman" w:cs="Times New Roman"/>
          <w:color w:val="000000" w:themeColor="text1"/>
        </w:rPr>
        <w:t>地资源破坏的治理措施</w:t>
      </w:r>
    </w:p>
    <w:p w14:paraId="175BF3EA">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矿山开采时注意对</w:t>
      </w:r>
      <w:r>
        <w:rPr>
          <w:rFonts w:hint="eastAsia" w:ascii="Times New Roman" w:hAnsi="Times New Roman" w:cs="Times New Roman"/>
          <w:color w:val="000000" w:themeColor="text1"/>
        </w:rPr>
        <w:t>草</w:t>
      </w:r>
      <w:r>
        <w:rPr>
          <w:rFonts w:ascii="Times New Roman" w:hAnsi="Times New Roman" w:cs="Times New Roman"/>
          <w:color w:val="000000" w:themeColor="text1"/>
        </w:rPr>
        <w:t>地资源的保护，尽量减少对植被的破坏，保护</w:t>
      </w:r>
      <w:r>
        <w:rPr>
          <w:rFonts w:hint="eastAsia" w:ascii="Times New Roman" w:hAnsi="Times New Roman" w:cs="Times New Roman"/>
          <w:color w:val="000000" w:themeColor="text1"/>
        </w:rPr>
        <w:t>草</w:t>
      </w:r>
      <w:r>
        <w:rPr>
          <w:rFonts w:ascii="Times New Roman" w:hAnsi="Times New Roman" w:cs="Times New Roman"/>
          <w:color w:val="000000" w:themeColor="text1"/>
        </w:rPr>
        <w:t>地资源。</w:t>
      </w:r>
    </w:p>
    <w:p w14:paraId="2DE82FFC">
      <w:pPr>
        <w:pStyle w:val="178"/>
        <w:topLinePunct/>
        <w:rPr>
          <w:rFonts w:ascii="Times New Roman" w:hAnsi="Times New Roman" w:cs="Times New Roman"/>
          <w:color w:val="000000" w:themeColor="text1"/>
        </w:rPr>
      </w:pPr>
      <w:r>
        <w:rPr>
          <w:rFonts w:ascii="Times New Roman" w:hAnsi="Times New Roman" w:cs="Times New Roman"/>
          <w:color w:val="000000" w:themeColor="text1"/>
        </w:rPr>
        <w:t>8、资源储量和服务年限</w:t>
      </w:r>
    </w:p>
    <w:p w14:paraId="593666B9">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（1）资源储量</w:t>
      </w:r>
    </w:p>
    <w:p w14:paraId="77B118A2">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根据《鸡东县永平采石场2024年玄武岩资源/储量年度报告》（2024年12月），截止2024年12月26日鸡东县永平采石场剩余玄武岩资源储量建筑用玄武岩资源/储量为2287134</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，其中可采储量为1830058</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，2025年未进行开采，未动用储量，回采率98%，可采出资源量为1793457</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w:t>
      </w:r>
    </w:p>
    <w:p w14:paraId="7046ED09">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（2）矿山生产能力及服务年限</w:t>
      </w:r>
    </w:p>
    <w:p w14:paraId="18D55BD5">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服务年限：根据矿山可采资源储量、矿山年生产能力和服务年限的关系，确定该矿山服务年限：</w:t>
      </w:r>
    </w:p>
    <w:p w14:paraId="26646FC6">
      <w:pPr>
        <w:pStyle w:val="178"/>
        <w:topLinePunct/>
        <w:rPr>
          <w:rFonts w:ascii="Times New Roman" w:hAnsi="Times New Roman" w:cs="Times New Roman"/>
          <w:color w:val="000000" w:themeColor="text1"/>
        </w:rPr>
      </w:pPr>
      <w:r>
        <w:rPr>
          <w:rFonts w:ascii="Times New Roman" w:hAnsi="Times New Roman" w:cs="Times New Roman"/>
          <w:color w:val="000000" w:themeColor="text1"/>
        </w:rPr>
        <w:t xml:space="preserve">     T = Q÷A=1793457÷</w:t>
      </w:r>
      <w:r>
        <w:rPr>
          <w:rFonts w:hint="eastAsia" w:ascii="Times New Roman" w:hAnsi="Times New Roman" w:cs="Times New Roman"/>
          <w:color w:val="000000" w:themeColor="text1"/>
        </w:rPr>
        <w:t>70</w:t>
      </w:r>
      <w:r>
        <w:rPr>
          <w:rFonts w:ascii="Times New Roman" w:hAnsi="Times New Roman" w:cs="Times New Roman"/>
          <w:color w:val="000000" w:themeColor="text1"/>
        </w:rPr>
        <w:t>000≈</w:t>
      </w:r>
      <w:r>
        <w:rPr>
          <w:rFonts w:hint="eastAsia" w:ascii="Times New Roman" w:hAnsi="Times New Roman" w:cs="Times New Roman"/>
          <w:color w:val="000000" w:themeColor="text1"/>
        </w:rPr>
        <w:t>26</w:t>
      </w:r>
      <w:r>
        <w:rPr>
          <w:rFonts w:ascii="Times New Roman" w:hAnsi="Times New Roman" w:cs="Times New Roman"/>
          <w:color w:val="000000" w:themeColor="text1"/>
        </w:rPr>
        <w:t>（年）</w:t>
      </w:r>
    </w:p>
    <w:p w14:paraId="0F31E8AB">
      <w:pPr>
        <w:pStyle w:val="178"/>
        <w:topLinePunct/>
        <w:rPr>
          <w:rFonts w:ascii="Times New Roman" w:hAnsi="Times New Roman" w:cs="Times New Roman"/>
          <w:color w:val="000000" w:themeColor="text1"/>
        </w:rPr>
      </w:pPr>
      <w:r>
        <w:rPr>
          <w:rFonts w:ascii="Times New Roman" w:hAnsi="Times New Roman" w:cs="Times New Roman"/>
          <w:color w:val="000000" w:themeColor="text1"/>
        </w:rPr>
        <w:t>式中：T—露天开采服务年限（年）；</w:t>
      </w:r>
    </w:p>
    <w:p w14:paraId="07816AD6">
      <w:pPr>
        <w:pStyle w:val="178"/>
        <w:topLinePunct/>
        <w:rPr>
          <w:rFonts w:ascii="Times New Roman" w:hAnsi="Times New Roman" w:cs="Times New Roman"/>
          <w:color w:val="000000" w:themeColor="text1"/>
        </w:rPr>
      </w:pPr>
      <w:r>
        <w:rPr>
          <w:rFonts w:ascii="Times New Roman" w:hAnsi="Times New Roman" w:cs="Times New Roman"/>
          <w:color w:val="000000" w:themeColor="text1"/>
        </w:rPr>
        <w:t>A—矿山开采规模（</w:t>
      </w:r>
      <w:r>
        <w:rPr>
          <w:rFonts w:hint="eastAsia" w:ascii="Times New Roman" w:hAnsi="Times New Roman" w:cs="Times New Roman"/>
          <w:color w:val="000000" w:themeColor="text1"/>
        </w:rPr>
        <w:t>7.00万</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/年）；</w:t>
      </w:r>
    </w:p>
    <w:p w14:paraId="054011BD">
      <w:pPr>
        <w:pStyle w:val="178"/>
        <w:topLinePunct/>
        <w:rPr>
          <w:rFonts w:ascii="Times New Roman" w:hAnsi="Times New Roman" w:cs="Times New Roman"/>
          <w:color w:val="000000" w:themeColor="text1"/>
        </w:rPr>
      </w:pPr>
      <w:r>
        <w:rPr>
          <w:rFonts w:ascii="Times New Roman" w:hAnsi="Times New Roman" w:cs="Times New Roman"/>
          <w:color w:val="000000" w:themeColor="text1"/>
        </w:rPr>
        <w:t>Q—露天境界可采资源量（1793457</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w:t>
      </w:r>
    </w:p>
    <w:p w14:paraId="698BDEA0">
      <w:pPr>
        <w:pStyle w:val="178"/>
        <w:topLinePunct/>
        <w:rPr>
          <w:rFonts w:ascii="Times New Roman" w:hAnsi="Times New Roman" w:cs="Times New Roman"/>
          <w:color w:val="000000" w:themeColor="text1"/>
        </w:rPr>
      </w:pPr>
      <w:r>
        <w:rPr>
          <w:rFonts w:ascii="Times New Roman" w:hAnsi="Times New Roman" w:cs="Times New Roman"/>
          <w:color w:val="000000" w:themeColor="text1"/>
        </w:rPr>
        <w:t>经计算，露天采场服务年限约</w:t>
      </w:r>
      <w:r>
        <w:rPr>
          <w:rFonts w:hint="eastAsia" w:ascii="Times New Roman" w:hAnsi="Times New Roman" w:cs="Times New Roman"/>
          <w:color w:val="000000" w:themeColor="text1"/>
        </w:rPr>
        <w:t>26</w:t>
      </w:r>
      <w:r>
        <w:rPr>
          <w:rFonts w:ascii="Times New Roman" w:hAnsi="Times New Roman" w:cs="Times New Roman"/>
          <w:color w:val="000000" w:themeColor="text1"/>
        </w:rPr>
        <w:t>年。</w:t>
      </w:r>
    </w:p>
    <w:p w14:paraId="58AD9DED">
      <w:pPr>
        <w:pStyle w:val="178"/>
        <w:topLinePunct/>
        <w:rPr>
          <w:rFonts w:ascii="Times New Roman" w:hAnsi="Times New Roman" w:cs="Times New Roman"/>
          <w:color w:val="000000" w:themeColor="text1"/>
        </w:rPr>
      </w:pPr>
    </w:p>
    <w:p w14:paraId="2D1C1F55">
      <w:pPr>
        <w:pStyle w:val="178"/>
        <w:topLinePunct/>
        <w:jc w:val="center"/>
        <w:rPr>
          <w:rFonts w:ascii="Times New Roman" w:hAnsi="Times New Roman" w:cs="Times New Roman"/>
          <w:color w:val="000000" w:themeColor="text1"/>
        </w:rPr>
        <w:sectPr>
          <w:footerReference r:id="rId6" w:type="default"/>
          <w:pgSz w:w="11906" w:h="16838"/>
          <w:pgMar w:top="1418" w:right="1418" w:bottom="1418" w:left="1418" w:header="851" w:footer="992" w:gutter="0"/>
          <w:pgBorders>
            <w:top w:val="none" w:sz="0" w:space="0"/>
            <w:left w:val="none" w:sz="0" w:space="0"/>
            <w:bottom w:val="none" w:sz="0" w:space="0"/>
            <w:right w:val="none" w:sz="0" w:space="0"/>
          </w:pgBorders>
          <w:pgNumType w:start="1"/>
          <w:cols w:space="425" w:num="1"/>
          <w:docGrid w:type="lines" w:linePitch="312" w:charSpace="0"/>
        </w:sectPr>
      </w:pPr>
    </w:p>
    <w:p w14:paraId="3106A84A">
      <w:pPr>
        <w:pStyle w:val="159"/>
        <w:topLinePunct/>
        <w:rPr>
          <w:rFonts w:ascii="Times New Roman" w:hAnsi="Times New Roman" w:cs="Times New Roman"/>
          <w:color w:val="000000" w:themeColor="text1"/>
        </w:rPr>
      </w:pPr>
      <w:bookmarkStart w:id="11" w:name="_Toc5117"/>
      <w:r>
        <w:rPr>
          <w:rFonts w:ascii="Times New Roman" w:hAnsi="Times New Roman" w:cs="Times New Roman"/>
          <w:color w:val="000000" w:themeColor="text1"/>
        </w:rPr>
        <w:t>第二章 矿区基础信息</w:t>
      </w:r>
      <w:bookmarkEnd w:id="11"/>
    </w:p>
    <w:p w14:paraId="535CADB9">
      <w:pPr>
        <w:pStyle w:val="174"/>
        <w:topLinePunct/>
        <w:rPr>
          <w:rFonts w:ascii="Times New Roman" w:hAnsi="Times New Roman" w:cs="Times New Roman"/>
          <w:color w:val="000000" w:themeColor="text1"/>
        </w:rPr>
      </w:pPr>
      <w:bookmarkStart w:id="12" w:name="_Toc17548"/>
      <w:r>
        <w:rPr>
          <w:rFonts w:ascii="Times New Roman" w:hAnsi="Times New Roman" w:cs="Times New Roman"/>
          <w:color w:val="000000" w:themeColor="text1"/>
        </w:rPr>
        <w:t>一、矿区自然条件</w:t>
      </w:r>
      <w:bookmarkEnd w:id="12"/>
    </w:p>
    <w:p w14:paraId="6001B1AF">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（一）气象</w:t>
      </w:r>
    </w:p>
    <w:p w14:paraId="44B50E31">
      <w:pPr>
        <w:pStyle w:val="178"/>
        <w:topLinePunct/>
        <w:rPr>
          <w:rFonts w:ascii="Times New Roman" w:hAnsi="Times New Roman" w:cs="Times New Roman"/>
          <w:color w:val="000000" w:themeColor="text1"/>
        </w:rPr>
      </w:pPr>
      <w:r>
        <w:rPr>
          <w:rFonts w:ascii="Times New Roman" w:hAnsi="Times New Roman" w:cs="Times New Roman"/>
          <w:color w:val="000000" w:themeColor="text1"/>
        </w:rPr>
        <w:t>鸡东县处于中温带季风气候区，气候特点为四季分明，冬夏温差较大，春季多风干燥，夏季湿热多雨短暂，秋季降温迅速多早霜，冬季严寒而漫长。鸡东县多年平均气温4.5℃，多年平均大于等于10℃积温 2718℃，年蒸发量 1269.5mm，年降水量为 531.4mm，无霜期139天。主导风向夏季为西南风，冬季为西北风，年平均风速3.4m/s，最大风速23.0m/s，强风多在春冬和初夏季节出现，最大冻土深度为2.20m。</w:t>
      </w:r>
    </w:p>
    <w:p w14:paraId="14A7B6C1">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（二）水文</w:t>
      </w:r>
    </w:p>
    <w:p w14:paraId="4341E315">
      <w:pPr>
        <w:pStyle w:val="178"/>
        <w:topLinePunct/>
        <w:rPr>
          <w:rFonts w:ascii="Times New Roman" w:hAnsi="Times New Roman" w:cs="Times New Roman"/>
          <w:color w:val="000000" w:themeColor="text1"/>
        </w:rPr>
      </w:pPr>
      <w:r>
        <w:rPr>
          <w:rFonts w:ascii="Times New Roman" w:hAnsi="Times New Roman" w:cs="Times New Roman"/>
          <w:color w:val="000000" w:themeColor="text1"/>
        </w:rPr>
        <w:t>鸡东县内河流均属穆棱河水系。穆棱河横贯该县中部，有二、三级支流260条多分布在低山丘陵和丘陵漫岗区。主要支流有黄泥河、大石头河、半截河、水曲柳、河滴道河、哈达河、锅盔河等。由于受地形和气候的影响，河流具有明显的夏雨型、山地型特征。夏秋雨季流量较大，冬春流量较小，有的甚至干涸。全县有中型水库2座，小型水库7座</w:t>
      </w:r>
    </w:p>
    <w:p w14:paraId="20F34932">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属松花江流域穆棱河水系上游支沟区域，但矿区内无常流地表水体，水文条件相对简单。大气降水是区域水资源的主要补给来源。降水形成的地表径流沿自然坡面呈散流状向沟谷下游排泄，最终汇入永安镇南侧的小型季节性河流。</w:t>
      </w:r>
    </w:p>
    <w:p w14:paraId="4F70B290">
      <w:pPr>
        <w:pStyle w:val="178"/>
        <w:topLinePunct/>
        <w:ind w:firstLine="0" w:firstLineChars="0"/>
        <w:jc w:val="center"/>
        <w:rPr>
          <w:rFonts w:ascii="Times New Roman" w:hAnsi="Times New Roman" w:cs="Times New Roman"/>
          <w:color w:val="000000" w:themeColor="text1"/>
        </w:rPr>
      </w:pPr>
      <w:r>
        <w:rPr>
          <w:rFonts w:ascii="Times New Roman" w:hAnsi="Times New Roman" w:cs="Times New Roman"/>
          <w:color w:val="000000" w:themeColor="text1"/>
        </w:rPr>
        <w:drawing>
          <wp:inline distT="0" distB="0" distL="0" distR="0">
            <wp:extent cx="5407660" cy="6277610"/>
            <wp:effectExtent l="38100" t="19050" r="21277" b="27652"/>
            <wp:docPr id="7" name="图片 1" descr="E:\北京\孙\鸡东县永平采石场矿区生态修复方案_202507\shuix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E:\北京\孙\鸡东县永平采石场矿区生态修复方案_202507\shuixi.jpg"/>
                    <pic:cNvPicPr>
                      <a:picLocks noChangeAspect="1" noChangeArrowheads="1"/>
                    </pic:cNvPicPr>
                  </pic:nvPicPr>
                  <pic:blipFill>
                    <a:blip r:embed="rId12" cstate="print"/>
                    <a:srcRect/>
                    <a:stretch>
                      <a:fillRect/>
                    </a:stretch>
                  </pic:blipFill>
                  <pic:spPr>
                    <a:xfrm>
                      <a:off x="0" y="0"/>
                      <a:ext cx="5410515" cy="6280849"/>
                    </a:xfrm>
                    <a:prstGeom prst="rect">
                      <a:avLst/>
                    </a:prstGeom>
                    <a:noFill/>
                    <a:ln w="9525">
                      <a:solidFill>
                        <a:schemeClr val="tx1"/>
                      </a:solidFill>
                      <a:miter lim="800000"/>
                      <a:headEnd/>
                      <a:tailEnd/>
                    </a:ln>
                  </pic:spPr>
                </pic:pic>
              </a:graphicData>
            </a:graphic>
          </wp:inline>
        </w:drawing>
      </w:r>
    </w:p>
    <w:p w14:paraId="039D01D8">
      <w:pPr>
        <w:pStyle w:val="182"/>
        <w:topLinePunct/>
        <w:ind w:firstLine="0" w:firstLineChars="0"/>
        <w:rPr>
          <w:rFonts w:ascii="Times New Roman" w:hAnsi="Times New Roman"/>
          <w:color w:val="E36C09" w:themeColor="accent6" w:themeShade="BF"/>
        </w:rPr>
      </w:pPr>
      <w:r>
        <w:rPr>
          <w:rFonts w:ascii="Times New Roman" w:hAnsi="Times New Roman"/>
          <w:color w:val="E36C09" w:themeColor="accent6" w:themeShade="BF"/>
        </w:rPr>
        <w:t>图2-1 项目区水系图</w:t>
      </w:r>
    </w:p>
    <w:p w14:paraId="6E265CDE">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（三）地形地貌</w:t>
      </w:r>
    </w:p>
    <w:p w14:paraId="6AD0AFFF">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矿区地貌单元属完达山山脉东延部分的低山丘陵区。地势总体西高东低，海拔标高在+2</w:t>
      </w:r>
      <w:r>
        <w:rPr>
          <w:rFonts w:hint="eastAsia" w:ascii="Times New Roman" w:hAnsi="Times New Roman" w:cs="Times New Roman"/>
          <w:color w:val="000000" w:themeColor="text1"/>
        </w:rPr>
        <w:t>2</w:t>
      </w:r>
      <w:r>
        <w:rPr>
          <w:rFonts w:ascii="Times New Roman" w:hAnsi="Times New Roman" w:cs="Times New Roman"/>
          <w:color w:val="000000" w:themeColor="text1"/>
        </w:rPr>
        <w:t>0</w:t>
      </w:r>
      <w:r>
        <w:rPr>
          <w:rFonts w:hint="eastAsia" w:ascii="Times New Roman" w:hAnsi="Times New Roman" w:cs="Times New Roman"/>
          <w:color w:val="000000" w:themeColor="text1"/>
        </w:rPr>
        <w:t>m</w:t>
      </w:r>
      <w:r>
        <w:rPr>
          <w:rFonts w:ascii="Times New Roman" w:hAnsi="Times New Roman" w:cs="Times New Roman"/>
          <w:color w:val="000000" w:themeColor="text1"/>
        </w:rPr>
        <w:t>至+</w:t>
      </w:r>
      <w:r>
        <w:rPr>
          <w:rFonts w:hint="eastAsia" w:ascii="Times New Roman" w:hAnsi="Times New Roman" w:cs="Times New Roman"/>
          <w:color w:val="000000" w:themeColor="text1"/>
        </w:rPr>
        <w:t>294m</w:t>
      </w:r>
      <w:r>
        <w:rPr>
          <w:rFonts w:ascii="Times New Roman" w:hAnsi="Times New Roman" w:cs="Times New Roman"/>
          <w:color w:val="000000" w:themeColor="text1"/>
        </w:rPr>
        <w:t>之间，相对高差约</w:t>
      </w:r>
      <w:r>
        <w:rPr>
          <w:rFonts w:hint="eastAsia" w:ascii="Times New Roman" w:hAnsi="Times New Roman" w:cs="Times New Roman"/>
          <w:color w:val="000000" w:themeColor="text1"/>
        </w:rPr>
        <w:t>74m</w:t>
      </w:r>
      <w:r>
        <w:rPr>
          <w:rFonts w:ascii="Times New Roman" w:hAnsi="Times New Roman" w:cs="Times New Roman"/>
          <w:color w:val="000000" w:themeColor="text1"/>
        </w:rPr>
        <w:t>。矿区范围内地形起伏较明显，自然坡度一般在15°～30°之间。矿区处于二锅盔山山体部位，地表形态受构造和风化剥蚀作用控制，多呈浑圆状丘顶和缓坡。</w:t>
      </w:r>
    </w:p>
    <w:p w14:paraId="3181F933">
      <w:pPr>
        <w:pStyle w:val="178"/>
        <w:topLinePunct/>
        <w:ind w:firstLine="0" w:firstLineChars="0"/>
        <w:jc w:val="center"/>
        <w:rPr>
          <w:rFonts w:ascii="Times New Roman" w:hAnsi="Times New Roman" w:cs="Times New Roman"/>
          <w:color w:val="000000" w:themeColor="text1"/>
        </w:rPr>
      </w:pPr>
      <w:r>
        <w:rPr>
          <w:rFonts w:hint="eastAsia" w:ascii="Times New Roman" w:hAnsi="Times New Roman" w:cs="Times New Roman"/>
          <w:color w:val="000000" w:themeColor="text1"/>
        </w:rPr>
        <w:drawing>
          <wp:inline distT="0" distB="0" distL="114300" distR="114300">
            <wp:extent cx="5752465" cy="4312285"/>
            <wp:effectExtent l="0" t="0" r="635" b="12065"/>
            <wp:docPr id="24" name="图片 24" descr="微信图片_2025040216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微信图片_20250402164221"/>
                    <pic:cNvPicPr>
                      <a:picLocks noChangeAspect="1"/>
                    </pic:cNvPicPr>
                  </pic:nvPicPr>
                  <pic:blipFill>
                    <a:blip r:embed="rId13"/>
                    <a:stretch>
                      <a:fillRect/>
                    </a:stretch>
                  </pic:blipFill>
                  <pic:spPr>
                    <a:xfrm>
                      <a:off x="0" y="0"/>
                      <a:ext cx="5752465" cy="4312285"/>
                    </a:xfrm>
                    <a:prstGeom prst="rect">
                      <a:avLst/>
                    </a:prstGeom>
                  </pic:spPr>
                </pic:pic>
              </a:graphicData>
            </a:graphic>
          </wp:inline>
        </w:drawing>
      </w:r>
    </w:p>
    <w:p w14:paraId="17E5E35B">
      <w:pPr>
        <w:pStyle w:val="182"/>
        <w:topLinePunct/>
        <w:ind w:firstLine="0" w:firstLineChars="0"/>
        <w:rPr>
          <w:rFonts w:ascii="Times New Roman" w:hAnsi="Times New Roman"/>
          <w:color w:val="000000" w:themeColor="text1"/>
        </w:rPr>
      </w:pPr>
      <w:r>
        <w:rPr>
          <w:rFonts w:ascii="Times New Roman" w:hAnsi="Times New Roman"/>
          <w:color w:val="000000" w:themeColor="text1"/>
        </w:rPr>
        <w:t>图2-2 矿区典型地貌图</w:t>
      </w:r>
    </w:p>
    <w:p w14:paraId="0F699E4C">
      <w:pPr>
        <w:pStyle w:val="178"/>
        <w:topLinePunct/>
        <w:ind w:firstLine="0" w:firstLineChars="0"/>
        <w:rPr>
          <w:rFonts w:ascii="Times New Roman" w:hAnsi="Times New Roman" w:cs="Times New Roman"/>
          <w:color w:val="000000" w:themeColor="text1"/>
        </w:rPr>
      </w:pPr>
    </w:p>
    <w:p w14:paraId="20E64C50">
      <w:pPr>
        <w:pStyle w:val="182"/>
        <w:topLinePunct/>
        <w:ind w:firstLine="0" w:firstLineChars="0"/>
        <w:rPr>
          <w:rFonts w:ascii="Times New Roman" w:hAnsi="Times New Roman"/>
          <w:color w:val="000000" w:themeColor="text1"/>
        </w:rPr>
      </w:pPr>
      <w:r>
        <w:rPr>
          <w:rFonts w:ascii="Times New Roman" w:hAnsi="Times New Roman"/>
          <w:color w:val="000000" w:themeColor="text1"/>
        </w:rPr>
        <w:drawing>
          <wp:inline distT="0" distB="0" distL="114300" distR="114300">
            <wp:extent cx="5756910" cy="5760085"/>
            <wp:effectExtent l="0" t="0" r="15240" b="12065"/>
            <wp:docPr id="6" name="图片 6"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33"/>
                    <pic:cNvPicPr>
                      <a:picLocks noChangeAspect="1"/>
                    </pic:cNvPicPr>
                  </pic:nvPicPr>
                  <pic:blipFill>
                    <a:blip r:embed="rId14"/>
                    <a:stretch>
                      <a:fillRect/>
                    </a:stretch>
                  </pic:blipFill>
                  <pic:spPr>
                    <a:xfrm>
                      <a:off x="0" y="0"/>
                      <a:ext cx="5756910" cy="5760085"/>
                    </a:xfrm>
                    <a:prstGeom prst="rect">
                      <a:avLst/>
                    </a:prstGeom>
                  </pic:spPr>
                </pic:pic>
              </a:graphicData>
            </a:graphic>
          </wp:inline>
        </w:drawing>
      </w:r>
    </w:p>
    <w:p w14:paraId="5C76D2A6">
      <w:pPr>
        <w:pStyle w:val="182"/>
        <w:topLinePunct/>
        <w:ind w:firstLine="0" w:firstLineChars="0"/>
        <w:rPr>
          <w:rFonts w:ascii="Times New Roman" w:hAnsi="Times New Roman"/>
          <w:color w:val="000000" w:themeColor="text1"/>
        </w:rPr>
      </w:pPr>
      <w:r>
        <w:rPr>
          <w:rFonts w:ascii="Times New Roman" w:hAnsi="Times New Roman"/>
          <w:color w:val="000000" w:themeColor="text1"/>
        </w:rPr>
        <w:t>图2-</w:t>
      </w:r>
      <w:r>
        <w:rPr>
          <w:rFonts w:hint="eastAsia" w:ascii="Times New Roman" w:hAnsi="Times New Roman"/>
          <w:color w:val="000000" w:themeColor="text1"/>
        </w:rPr>
        <w:t>3</w:t>
      </w:r>
      <w:r>
        <w:rPr>
          <w:rFonts w:ascii="Times New Roman" w:hAnsi="Times New Roman"/>
          <w:color w:val="000000" w:themeColor="text1"/>
        </w:rPr>
        <w:t xml:space="preserve"> 项目区地形图</w:t>
      </w:r>
    </w:p>
    <w:p w14:paraId="5065132A">
      <w:pPr>
        <w:pStyle w:val="179"/>
        <w:topLinePunct/>
        <w:rPr>
          <w:rFonts w:ascii="Times New Roman" w:hAnsi="Times New Roman" w:cs="Times New Roman"/>
          <w:color w:val="000000" w:themeColor="text1"/>
        </w:rPr>
      </w:pPr>
      <w:r>
        <w:rPr>
          <w:rFonts w:ascii="Times New Roman" w:hAnsi="Times New Roman" w:cs="Times New Roman"/>
          <w:color w:val="000000" w:themeColor="text1"/>
        </w:rPr>
        <w:t>（四）植被</w:t>
      </w:r>
    </w:p>
    <w:p w14:paraId="3A2B822E">
      <w:pPr>
        <w:pStyle w:val="178"/>
        <w:topLinePunct/>
        <w:rPr>
          <w:rFonts w:ascii="Times New Roman" w:hAnsi="Times New Roman" w:cs="Times New Roman"/>
          <w:color w:val="000000" w:themeColor="text1"/>
        </w:rPr>
      </w:pPr>
      <w:r>
        <w:rPr>
          <w:rFonts w:ascii="Times New Roman" w:hAnsi="Times New Roman" w:cs="Times New Roman"/>
          <w:color w:val="000000" w:themeColor="text1"/>
        </w:rPr>
        <w:t>鸡东县的植物处于小兴安岭张广才岭完达山阔叶红松林区。北部是以柞树、黑桦为主的林分类型占优势；南部林分类型较北部有其多样性，除柞树、黑桦林分类型外，还有软阔混交、针阔混交、珍贵硬阔、 红松、兴凯松等林分类型。南北山区丘陵生长着红松、兴凯松等珍叶树种，穆棱河两岸生长着榆树、柳树、黄菠萝等阔叶树种。项目区及周围多为林地，以森林植被为主，项目区周边常见树种为阔叶乔木和灌木。</w:t>
      </w:r>
    </w:p>
    <w:p w14:paraId="0C6FA68F">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（五）土壤</w:t>
      </w:r>
    </w:p>
    <w:p w14:paraId="4B9725FF">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矿区土壤类型以暗棕壤为主，腐殖质层厚度一般</w:t>
      </w:r>
      <w:r>
        <w:rPr>
          <w:rFonts w:hint="eastAsia" w:ascii="Times New Roman" w:hAnsi="Times New Roman" w:cs="Times New Roman"/>
          <w:color w:val="000000" w:themeColor="text1"/>
        </w:rPr>
        <w:t>30cm</w:t>
      </w:r>
      <w:r>
        <w:rPr>
          <w:rFonts w:ascii="Times New Roman" w:hAnsi="Times New Roman" w:cs="Times New Roman"/>
          <w:color w:val="000000" w:themeColor="text1"/>
        </w:rPr>
        <w:t>，呈灰棕色，有机质含量中等，粒状结构，质地为轻壤至中壤。淀积层呈棕褐色，质地稍粘重，常有铁锰胶膜和少量粘粒淀积。成土母质主要为玄武岩风化残积物和坡积物。土壤剖面见下图。</w:t>
      </w:r>
    </w:p>
    <w:tbl>
      <w:tblPr>
        <w:tblStyle w:val="43"/>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685"/>
        <w:gridCol w:w="3685"/>
      </w:tblGrid>
      <w:tr w14:paraId="5F41F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537" w:type="dxa"/>
            <w:vAlign w:val="center"/>
          </w:tcPr>
          <w:p w14:paraId="6ECF6127">
            <w:pPr>
              <w:pStyle w:val="178"/>
              <w:topLinePunct/>
              <w:ind w:firstLine="0" w:firstLineChars="0"/>
              <w:jc w:val="center"/>
              <w:rPr>
                <w:rFonts w:ascii="Times New Roman" w:hAnsi="Times New Roman" w:cs="Times New Roman"/>
                <w:color w:val="000000" w:themeColor="text1"/>
              </w:rPr>
            </w:pPr>
            <w:r>
              <w:rPr>
                <w:rFonts w:ascii="Times New Roman" w:hAnsi="Times New Roman" w:cs="Times New Roman"/>
                <w:color w:val="000000" w:themeColor="text1"/>
              </w:rPr>
              <w:drawing>
                <wp:inline distT="0" distB="0" distL="114300" distR="114300">
                  <wp:extent cx="2091690" cy="3420110"/>
                  <wp:effectExtent l="0" t="0" r="3810" b="8890"/>
                  <wp:docPr id="22" name="图片 22" descr="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旱"/>
                          <pic:cNvPicPr>
                            <a:picLocks noChangeAspect="1"/>
                          </pic:cNvPicPr>
                        </pic:nvPicPr>
                        <pic:blipFill>
                          <a:blip r:embed="rId15"/>
                          <a:stretch>
                            <a:fillRect/>
                          </a:stretch>
                        </pic:blipFill>
                        <pic:spPr>
                          <a:xfrm>
                            <a:off x="0" y="0"/>
                            <a:ext cx="2091690" cy="3420110"/>
                          </a:xfrm>
                          <a:prstGeom prst="rect">
                            <a:avLst/>
                          </a:prstGeom>
                        </pic:spPr>
                      </pic:pic>
                    </a:graphicData>
                  </a:graphic>
                </wp:inline>
              </w:drawing>
            </w:r>
          </w:p>
        </w:tc>
        <w:tc>
          <w:tcPr>
            <w:tcW w:w="4538" w:type="dxa"/>
            <w:vAlign w:val="center"/>
          </w:tcPr>
          <w:p w14:paraId="6493E284">
            <w:pPr>
              <w:pStyle w:val="178"/>
              <w:topLinePunct/>
              <w:ind w:firstLine="0" w:firstLineChars="0"/>
              <w:jc w:val="center"/>
              <w:rPr>
                <w:rFonts w:ascii="Times New Roman" w:hAnsi="Times New Roman" w:cs="Times New Roman"/>
                <w:color w:val="000000" w:themeColor="text1"/>
              </w:rPr>
            </w:pPr>
            <w:r>
              <w:rPr>
                <w:rFonts w:ascii="Times New Roman" w:hAnsi="Times New Roman" w:cs="Times New Roman"/>
                <w:color w:val="000000" w:themeColor="text1"/>
              </w:rPr>
              <w:drawing>
                <wp:inline distT="0" distB="0" distL="114300" distR="114300">
                  <wp:extent cx="2091690" cy="3420110"/>
                  <wp:effectExtent l="0" t="0" r="3810" b="8890"/>
                  <wp:docPr id="23" name="图片 23" descr="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草"/>
                          <pic:cNvPicPr>
                            <a:picLocks noChangeAspect="1"/>
                          </pic:cNvPicPr>
                        </pic:nvPicPr>
                        <pic:blipFill>
                          <a:blip r:embed="rId16"/>
                          <a:stretch>
                            <a:fillRect/>
                          </a:stretch>
                        </pic:blipFill>
                        <pic:spPr>
                          <a:xfrm>
                            <a:off x="0" y="0"/>
                            <a:ext cx="2091690" cy="3420110"/>
                          </a:xfrm>
                          <a:prstGeom prst="rect">
                            <a:avLst/>
                          </a:prstGeom>
                        </pic:spPr>
                      </pic:pic>
                    </a:graphicData>
                  </a:graphic>
                </wp:inline>
              </w:drawing>
            </w:r>
          </w:p>
        </w:tc>
      </w:tr>
      <w:tr w14:paraId="2E487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537" w:type="dxa"/>
            <w:vAlign w:val="center"/>
          </w:tcPr>
          <w:p w14:paraId="0801E2C1">
            <w:pPr>
              <w:pStyle w:val="178"/>
              <w:topLinePunct/>
              <w:ind w:firstLine="485"/>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旱地土壤剖面图</w:t>
            </w:r>
          </w:p>
        </w:tc>
        <w:tc>
          <w:tcPr>
            <w:tcW w:w="4538" w:type="dxa"/>
            <w:shd w:val="clear" w:color="auto" w:fill="auto"/>
            <w:vAlign w:val="center"/>
          </w:tcPr>
          <w:p w14:paraId="59C84D7E">
            <w:pPr>
              <w:pStyle w:val="178"/>
              <w:topLinePunct/>
              <w:ind w:firstLine="485"/>
              <w:jc w:val="center"/>
              <w:rPr>
                <w:rFonts w:ascii="Times New Roman" w:hAnsi="Times New Roman" w:cs="Times New Roman"/>
                <w:color w:val="000000" w:themeColor="text1"/>
                <w:sz w:val="24"/>
                <w:szCs w:val="24"/>
              </w:rPr>
            </w:pPr>
            <w:r>
              <w:rPr>
                <w:rFonts w:hint="eastAsia" w:ascii="Times New Roman" w:hAnsi="Times New Roman" w:cs="Times New Roman"/>
                <w:color w:val="000000" w:themeColor="text1"/>
                <w:sz w:val="24"/>
                <w:szCs w:val="24"/>
              </w:rPr>
              <w:t>草</w:t>
            </w:r>
            <w:r>
              <w:rPr>
                <w:rFonts w:ascii="Times New Roman" w:hAnsi="Times New Roman" w:cs="Times New Roman"/>
                <w:color w:val="000000" w:themeColor="text1"/>
                <w:sz w:val="24"/>
                <w:szCs w:val="24"/>
              </w:rPr>
              <w:t>地土壤剖面图</w:t>
            </w:r>
          </w:p>
        </w:tc>
      </w:tr>
    </w:tbl>
    <w:p w14:paraId="03021752">
      <w:pPr>
        <w:pStyle w:val="182"/>
        <w:topLinePunct/>
        <w:ind w:firstLine="0" w:firstLineChars="0"/>
        <w:rPr>
          <w:rFonts w:ascii="Times New Roman" w:hAnsi="Times New Roman"/>
          <w:color w:val="000000" w:themeColor="text1"/>
        </w:rPr>
      </w:pPr>
      <w:r>
        <w:rPr>
          <w:rFonts w:ascii="Times New Roman" w:hAnsi="Times New Roman"/>
          <w:color w:val="000000" w:themeColor="text1"/>
        </w:rPr>
        <w:t>图2-</w:t>
      </w:r>
      <w:r>
        <w:rPr>
          <w:rFonts w:hint="eastAsia" w:ascii="Times New Roman" w:hAnsi="Times New Roman"/>
          <w:color w:val="000000" w:themeColor="text1"/>
        </w:rPr>
        <w:t>4</w:t>
      </w:r>
      <w:r>
        <w:rPr>
          <w:rFonts w:ascii="Times New Roman" w:hAnsi="Times New Roman"/>
          <w:color w:val="000000" w:themeColor="text1"/>
        </w:rPr>
        <w:t xml:space="preserve"> 土壤剖面图</w:t>
      </w:r>
    </w:p>
    <w:p w14:paraId="5254F43F">
      <w:pPr>
        <w:pStyle w:val="179"/>
        <w:topLinePunct/>
        <w:rPr>
          <w:rFonts w:ascii="Times New Roman" w:hAnsi="Times New Roman" w:cs="Times New Roman"/>
          <w:color w:val="000000" w:themeColor="text1"/>
        </w:rPr>
      </w:pPr>
      <w:r>
        <w:rPr>
          <w:rFonts w:ascii="Times New Roman" w:hAnsi="Times New Roman" w:cs="Times New Roman"/>
          <w:color w:val="000000" w:themeColor="text1"/>
        </w:rPr>
        <w:t>（六）地下水基本状况</w:t>
      </w:r>
    </w:p>
    <w:p w14:paraId="36B41831">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地下水类型主要为基岩裂隙水，赋存于玄武岩节理、裂隙中。含水层富水性普遍较弱，且不均匀，主要受裂隙发育程度控制。地下水补给来源单一，以大气降水直接入渗补给为主。地下水径流方向受地形控制，总体上由西向东、由高处向低处运移，径流速度较慢。排泄方式以侧向径流补给下游沟谷及零星蒸发为主。根据区域水文地质资料及矿区地形条件，矿区最低开采标高（+220</w:t>
      </w:r>
      <w:r>
        <w:rPr>
          <w:rFonts w:hint="eastAsia" w:ascii="Times New Roman" w:hAnsi="Times New Roman" w:cs="Times New Roman"/>
          <w:color w:val="000000" w:themeColor="text1"/>
        </w:rPr>
        <w:t>m</w:t>
      </w:r>
      <w:r>
        <w:rPr>
          <w:rFonts w:ascii="Times New Roman" w:hAnsi="Times New Roman" w:cs="Times New Roman"/>
          <w:color w:val="000000" w:themeColor="text1"/>
        </w:rPr>
        <w:t>）远高于当地侵蚀基准面（约+190</w:t>
      </w:r>
      <w:r>
        <w:rPr>
          <w:rFonts w:hint="eastAsia" w:ascii="Times New Roman" w:hAnsi="Times New Roman" w:cs="Times New Roman"/>
          <w:color w:val="000000" w:themeColor="text1"/>
        </w:rPr>
        <w:t>m</w:t>
      </w:r>
      <w:r>
        <w:rPr>
          <w:rFonts w:ascii="Times New Roman" w:hAnsi="Times New Roman" w:cs="Times New Roman"/>
          <w:color w:val="000000" w:themeColor="text1"/>
        </w:rPr>
        <w:t>），地下水埋藏较深，对露天开采活动影响甚微，采矿活动疏干排水需求小。地下水化学类型较为简单，水质一般符合《地下水质量标准》（GB/T 14848）Ⅲ类标准。</w:t>
      </w:r>
    </w:p>
    <w:p w14:paraId="120A2926">
      <w:pPr>
        <w:pStyle w:val="174"/>
        <w:topLinePunct/>
        <w:rPr>
          <w:rFonts w:ascii="Times New Roman" w:hAnsi="Times New Roman" w:cs="Times New Roman"/>
          <w:color w:val="000000" w:themeColor="text1"/>
        </w:rPr>
      </w:pPr>
      <w:bookmarkStart w:id="13" w:name="_Toc29114"/>
      <w:r>
        <w:rPr>
          <w:rFonts w:ascii="Times New Roman" w:hAnsi="Times New Roman" w:cs="Times New Roman"/>
          <w:color w:val="000000" w:themeColor="text1"/>
        </w:rPr>
        <w:t>二、社会经济概况</w:t>
      </w:r>
      <w:bookmarkEnd w:id="13"/>
    </w:p>
    <w:p w14:paraId="74B066BD">
      <w:pPr>
        <w:pStyle w:val="178"/>
        <w:topLinePunct/>
        <w:rPr>
          <w:rFonts w:ascii="Times New Roman" w:hAnsi="Times New Roman" w:cs="Times New Roman"/>
          <w:color w:val="000000" w:themeColor="text1"/>
        </w:rPr>
      </w:pPr>
      <w:r>
        <w:rPr>
          <w:rFonts w:ascii="Times New Roman" w:hAnsi="Times New Roman" w:cs="Times New Roman"/>
          <w:color w:val="000000" w:themeColor="text1"/>
        </w:rPr>
        <w:t>鸡东1965年建县，位于黑龙江省东南部，属边境县份，与俄罗斯陆路接壤111公里，总面积3243平方公里，地处中纬度，属大陆性季风气候，地貌特征为“七山半水二分半田”。下辖8镇3乡123个行政村。 </w:t>
      </w:r>
    </w:p>
    <w:p w14:paraId="3598768E">
      <w:pPr>
        <w:pStyle w:val="178"/>
        <w:topLinePunct/>
        <w:rPr>
          <w:rFonts w:hint="eastAsia" w:ascii="Times New Roman" w:hAnsi="Times New Roman" w:cs="Times New Roman"/>
          <w:color w:val="000000" w:themeColor="text1"/>
        </w:rPr>
      </w:pPr>
      <w:r>
        <w:rPr>
          <w:rFonts w:ascii="Times New Roman" w:hAnsi="Times New Roman" w:cs="Times New Roman"/>
          <w:color w:val="000000" w:themeColor="text1"/>
        </w:rPr>
        <w:t>鸡东人杰地灵，是宜居宜游的秀美边城。交通便利，区位优势明显。鸡东县城距哈尔滨461.7公里，距当壁镇、吉祥、绥芬河三个口岸分别为100公里、230公里和250公里，距鸡西市区15公里。</w:t>
      </w:r>
    </w:p>
    <w:p w14:paraId="00C5E516">
      <w:pPr>
        <w:pStyle w:val="178"/>
        <w:topLinePunct/>
        <w:rPr>
          <w:rFonts w:hint="eastAsia" w:ascii="Times New Roman" w:hAnsi="Times New Roman" w:cs="Times New Roman"/>
          <w:color w:val="000000" w:themeColor="text1"/>
        </w:rPr>
      </w:pPr>
      <w:r>
        <w:rPr>
          <w:rFonts w:ascii="Times New Roman" w:hAnsi="Times New Roman" w:cs="Times New Roman"/>
          <w:color w:val="000000" w:themeColor="text1"/>
        </w:rPr>
        <w:t>鸡东被誉为“龙江矿产资源大县”。现已发现矿产44种，其中，莹石、水晶、熔炼水晶、铂、钯的储量均列全省第1位，煤炭资源可采储量18亿吨，硅藻土储量92亿吨。盛产水稻、玉米、大豆、瓜菜、烤烟、紫苏等粮食和经济作物。粮食产量稳定在15亿斤以上。森林覆盖率达46.1%，盛产人参、松茸等300余种野生中药材和榛蘑、榛子、蕨菜等50余种山特产品。</w:t>
      </w:r>
    </w:p>
    <w:p w14:paraId="19217A91">
      <w:pPr>
        <w:pStyle w:val="178"/>
        <w:topLinePunct/>
        <w:rPr>
          <w:rFonts w:ascii="Times New Roman" w:hAnsi="Times New Roman" w:cs="Times New Roman"/>
          <w:color w:val="000000" w:themeColor="text1"/>
        </w:rPr>
      </w:pPr>
      <w:r>
        <w:rPr>
          <w:rFonts w:ascii="Times New Roman" w:hAnsi="Times New Roman" w:cs="Times New Roman"/>
          <w:color w:val="000000" w:themeColor="text1"/>
        </w:rPr>
        <w:t>2024年，全县地区生产总值实现正增长，一般公共预算收入增长15.2%，固定资产投资增长4%，社会消费品零售总额增长3%，实际利用内资增长50.6%，农林牧渔业总产值增长4%，城镇和农村居民人均可支配收入分别同比增长3.8%和5.3%。</w:t>
      </w:r>
    </w:p>
    <w:p w14:paraId="6B1B302A">
      <w:pPr>
        <w:pStyle w:val="178"/>
        <w:topLinePunct/>
        <w:rPr>
          <w:rFonts w:ascii="Times New Roman" w:hAnsi="Times New Roman" w:cs="Times New Roman"/>
          <w:color w:val="000000" w:themeColor="text1"/>
        </w:rPr>
      </w:pPr>
      <w:r>
        <w:rPr>
          <w:rFonts w:ascii="Times New Roman" w:hAnsi="Times New Roman" w:cs="Times New Roman"/>
          <w:color w:val="000000" w:themeColor="text1"/>
        </w:rPr>
        <w:t>2023年，全县地区生产总值增长2.1%，规模以上工业增加值增长1%，一般公共预算收入增长12.2%，固定资产投资增长1.1%，社会消费品零售总额增长8.2%，外贸进出口总额增长117%，实际利用内资增长0.6%，农林牧渔业总产值增长3.7%，城镇和农村居民人均可支配收入分别同比增长3.6%和5.9%。8项主要经济指标中，7项增幅超过市级平均线，其中5项增幅位列三县第一，地区生产总值增幅高于市级平均线0.8个百分点，排名全市第一。</w:t>
      </w:r>
    </w:p>
    <w:p w14:paraId="1F92C1C3">
      <w:pPr>
        <w:pStyle w:val="178"/>
        <w:topLinePunct/>
        <w:rPr>
          <w:rFonts w:ascii="Times New Roman" w:hAnsi="Times New Roman" w:cs="Times New Roman"/>
          <w:color w:val="000000" w:themeColor="text1"/>
        </w:rPr>
      </w:pPr>
      <w:r>
        <w:rPr>
          <w:rFonts w:ascii="Times New Roman" w:hAnsi="Times New Roman" w:cs="Times New Roman"/>
          <w:color w:val="000000" w:themeColor="text1"/>
        </w:rPr>
        <w:t>2022 年，多项经济指标位居全省前列，实际利用内资总额排名第2、税收收入增幅排名第3、一般公共预算收入增幅排名第5特别是第三季度县域经济3综合排名位列全省第2，较同期前进22个位次。更为振奋的是，有效化解疫情带来的不利影响，GDP总量成功突破百亿元大关，同比增加10亿元，相当于过去三年增量的总和，增长幅度高于全市、全省、全国平均线。</w:t>
      </w:r>
    </w:p>
    <w:p w14:paraId="0BCCAF06">
      <w:pPr>
        <w:pStyle w:val="178"/>
        <w:topLinePunct/>
        <w:rPr>
          <w:rFonts w:ascii="Times New Roman" w:hAnsi="Times New Roman" w:cs="Times New Roman"/>
          <w:color w:val="000000" w:themeColor="text1"/>
        </w:rPr>
      </w:pPr>
      <w:r>
        <w:rPr>
          <w:rFonts w:ascii="Times New Roman" w:hAnsi="Times New Roman" w:cs="Times New Roman"/>
          <w:color w:val="000000" w:themeColor="text1"/>
        </w:rPr>
        <w:t>来源：鸡东县人民政府网站</w:t>
      </w:r>
    </w:p>
    <w:p w14:paraId="49D671FA">
      <w:pPr>
        <w:pStyle w:val="174"/>
        <w:topLinePunct/>
        <w:rPr>
          <w:rFonts w:ascii="Times New Roman" w:hAnsi="Times New Roman" w:cs="Times New Roman"/>
          <w:color w:val="000000" w:themeColor="text1"/>
        </w:rPr>
      </w:pPr>
      <w:bookmarkStart w:id="14" w:name="_Toc4180"/>
      <w:r>
        <w:rPr>
          <w:rFonts w:ascii="Times New Roman" w:hAnsi="Times New Roman" w:cs="Times New Roman"/>
          <w:color w:val="000000" w:themeColor="text1"/>
        </w:rPr>
        <w:t>三、矿区地质环境背景</w:t>
      </w:r>
      <w:bookmarkEnd w:id="14"/>
    </w:p>
    <w:p w14:paraId="1AAC5CAB">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（一）地层岩性</w:t>
      </w:r>
    </w:p>
    <w:p w14:paraId="0A654642">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本区所出露的地层有新生界第三系上统黑头山组（BN</w:t>
      </w:r>
      <w:r>
        <w:rPr>
          <w:rFonts w:ascii="Times New Roman" w:hAnsi="Times New Roman" w:cs="Times New Roman"/>
          <w:color w:val="000000" w:themeColor="text1"/>
          <w:vertAlign w:val="subscript"/>
        </w:rPr>
        <w:t>2</w:t>
      </w:r>
      <w:r>
        <w:rPr>
          <w:rFonts w:ascii="Times New Roman" w:hAnsi="Times New Roman" w:cs="Times New Roman"/>
          <w:color w:val="000000" w:themeColor="text1"/>
        </w:rPr>
        <w:t>h）和中生界白垩系下统穆棱组（K</w:t>
      </w:r>
      <w:r>
        <w:rPr>
          <w:rFonts w:ascii="Times New Roman" w:hAnsi="Times New Roman" w:cs="Times New Roman"/>
          <w:color w:val="000000" w:themeColor="text1"/>
          <w:vertAlign w:val="subscript"/>
        </w:rPr>
        <w:t>1</w:t>
      </w:r>
      <w:r>
        <w:rPr>
          <w:rFonts w:ascii="Times New Roman" w:hAnsi="Times New Roman" w:cs="Times New Roman"/>
          <w:color w:val="000000" w:themeColor="text1"/>
        </w:rPr>
        <w:t>m），自上而下为：</w:t>
      </w:r>
    </w:p>
    <w:p w14:paraId="5B588298">
      <w:pPr>
        <w:pStyle w:val="178"/>
        <w:topLinePunct/>
        <w:rPr>
          <w:rFonts w:ascii="Times New Roman" w:hAnsi="Times New Roman" w:cs="Times New Roman"/>
          <w:color w:val="000000" w:themeColor="text1"/>
        </w:rPr>
      </w:pPr>
      <w:r>
        <w:rPr>
          <w:rFonts w:ascii="Times New Roman" w:hAnsi="Times New Roman" w:cs="Times New Roman"/>
          <w:color w:val="000000" w:themeColor="text1"/>
        </w:rPr>
        <w:t>第三系上统黑头山组（BN</w:t>
      </w:r>
      <w:r>
        <w:rPr>
          <w:rFonts w:ascii="Times New Roman" w:hAnsi="Times New Roman" w:cs="Times New Roman"/>
          <w:color w:val="000000" w:themeColor="text1"/>
          <w:vertAlign w:val="subscript"/>
        </w:rPr>
        <w:t>2</w:t>
      </w:r>
      <w:r>
        <w:rPr>
          <w:rFonts w:ascii="Times New Roman" w:hAnsi="Times New Roman" w:cs="Times New Roman"/>
          <w:color w:val="000000" w:themeColor="text1"/>
        </w:rPr>
        <w:t>h）灰色。灰黑色气孔状、致密状玄武岩夹薄层玄武质凝灰岩。</w:t>
      </w:r>
    </w:p>
    <w:p w14:paraId="76DECB34">
      <w:pPr>
        <w:pStyle w:val="178"/>
        <w:topLinePunct/>
        <w:rPr>
          <w:rFonts w:ascii="Times New Roman" w:hAnsi="Times New Roman" w:cs="Times New Roman"/>
          <w:color w:val="000000" w:themeColor="text1"/>
        </w:rPr>
      </w:pPr>
      <w:r>
        <w:rPr>
          <w:rFonts w:ascii="Times New Roman" w:hAnsi="Times New Roman" w:cs="Times New Roman"/>
          <w:color w:val="000000" w:themeColor="text1"/>
        </w:rPr>
        <w:t>白垩系下统穆棱组（K</w:t>
      </w:r>
      <w:r>
        <w:rPr>
          <w:rFonts w:ascii="Times New Roman" w:hAnsi="Times New Roman" w:cs="Times New Roman"/>
          <w:color w:val="000000" w:themeColor="text1"/>
          <w:vertAlign w:val="subscript"/>
        </w:rPr>
        <w:t>1</w:t>
      </w:r>
      <w:r>
        <w:rPr>
          <w:rFonts w:ascii="Times New Roman" w:hAnsi="Times New Roman" w:cs="Times New Roman"/>
          <w:color w:val="000000" w:themeColor="text1"/>
        </w:rPr>
        <w:t>m）。砂岩、粉砂岩、泥岩、夹凝灰岩薄层，中上部含可采煤层。地层走向为北东东向。</w:t>
      </w:r>
    </w:p>
    <w:p w14:paraId="48011B7D">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（二）地质构造与地震</w:t>
      </w:r>
    </w:p>
    <w:p w14:paraId="20044E50">
      <w:pPr>
        <w:pStyle w:val="178"/>
        <w:topLinePunct/>
        <w:rPr>
          <w:rFonts w:ascii="Times New Roman" w:hAnsi="Times New Roman" w:cs="Times New Roman"/>
          <w:color w:val="000000" w:themeColor="text1"/>
        </w:rPr>
      </w:pPr>
      <w:r>
        <w:rPr>
          <w:rFonts w:ascii="Times New Roman" w:hAnsi="Times New Roman" w:cs="Times New Roman"/>
          <w:color w:val="000000" w:themeColor="text1"/>
        </w:rPr>
        <w:t>鸡东县矿床位于敦化—密山岩石断裂带北端北部。地层分区为大青山—太平岭分区。区内矿床主要为建筑用石。</w:t>
      </w:r>
    </w:p>
    <w:p w14:paraId="2C6C6DCB">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内地质构造简单，矿体及围岩整体强度好，较为稳定。本区尚未发现有史以来曾发生破坏性地震的记载，矿区及附近地区也未发现有活动断裂发育。根据《中国地震动峰值加速度区划图》（GB18306-2015）的划分，本区地震动峰值加速度为小于0.05g，地震基本烈度为小于Ⅵ度，地震动反应谱特征周期为0.35s。属地壳稳定区。</w:t>
      </w:r>
    </w:p>
    <w:p w14:paraId="305342A4">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（三）水文地质</w:t>
      </w:r>
    </w:p>
    <w:p w14:paraId="06337785">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矿区为低山丘陵地形。矿区范围内最高标高为+294</w:t>
      </w:r>
      <w:r>
        <w:rPr>
          <w:rFonts w:hint="eastAsia" w:ascii="Times New Roman" w:hAnsi="Times New Roman" w:cs="Times New Roman"/>
          <w:color w:val="000000" w:themeColor="text1"/>
        </w:rPr>
        <w:t>m</w:t>
      </w:r>
      <w:r>
        <w:rPr>
          <w:rFonts w:ascii="Times New Roman" w:hAnsi="Times New Roman" w:cs="Times New Roman"/>
          <w:color w:val="000000" w:themeColor="text1"/>
        </w:rPr>
        <w:t>，最低开采高度为+220</w:t>
      </w:r>
      <w:r>
        <w:rPr>
          <w:rFonts w:hint="eastAsia" w:ascii="Times New Roman" w:hAnsi="Times New Roman" w:cs="Times New Roman"/>
          <w:color w:val="000000" w:themeColor="text1"/>
        </w:rPr>
        <w:t>m</w:t>
      </w:r>
      <w:r>
        <w:rPr>
          <w:rFonts w:ascii="Times New Roman" w:hAnsi="Times New Roman" w:cs="Times New Roman"/>
          <w:color w:val="000000" w:themeColor="text1"/>
        </w:rPr>
        <w:t>。矿区属于山坡地形。矿区周边地表水沿地形坡度自然排泄。</w:t>
      </w:r>
    </w:p>
    <w:p w14:paraId="4935F533">
      <w:pPr>
        <w:pStyle w:val="178"/>
        <w:topLinePunct/>
        <w:rPr>
          <w:rFonts w:ascii="Times New Roman" w:hAnsi="Times New Roman" w:cs="Times New Roman"/>
          <w:color w:val="000000" w:themeColor="text1"/>
        </w:rPr>
      </w:pPr>
      <w:r>
        <w:rPr>
          <w:rFonts w:ascii="Times New Roman" w:hAnsi="Times New Roman" w:cs="Times New Roman"/>
          <w:color w:val="E36C09" w:themeColor="accent6" w:themeShade="BF"/>
        </w:rPr>
        <w:t>矿区属第四系砂、砾石孔隙水，基岩裂隙水的补给迳流区。</w:t>
      </w:r>
      <w:r>
        <w:rPr>
          <w:rFonts w:hint="eastAsia" w:ascii="Times New Roman" w:hAnsi="Times New Roman" w:cs="Times New Roman"/>
          <w:color w:val="E36C09" w:themeColor="accent6" w:themeShade="BF"/>
        </w:rPr>
        <w:t>地下水系统以基岩裂隙水为主，局部覆盖的第四系松散堆积层中含少量孔隙潜水。主要含水层为风化裂隙及构造裂隙含水层，该含水层富水性弱且不均一；第四系残坡积层厚度薄、分布不连续，所含孔隙水水量极微。地下水补给来源单一，完全依赖大气降水直接入渗补给，无其他稳定补给源。</w:t>
      </w:r>
      <w:r>
        <w:rPr>
          <w:rFonts w:ascii="Times New Roman" w:hAnsi="Times New Roman" w:cs="Times New Roman"/>
          <w:color w:val="000000" w:themeColor="text1"/>
        </w:rPr>
        <w:t>地貌单元为丘陵区地形。气候特征为中温带大陆性季风气候，矿区内无地表水，地下水受大气降水的渗入补给，沿山坡向地势低洼处迳流，以蒸发和泉的形式排泄。</w:t>
      </w:r>
    </w:p>
    <w:p w14:paraId="28FFB634">
      <w:pPr>
        <w:pStyle w:val="179"/>
        <w:topLinePunct/>
        <w:rPr>
          <w:rFonts w:ascii="Times New Roman" w:hAnsi="Times New Roman" w:cs="Times New Roman"/>
          <w:color w:val="000000" w:themeColor="text1"/>
        </w:rPr>
      </w:pPr>
      <w:r>
        <w:rPr>
          <w:rFonts w:ascii="Times New Roman" w:hAnsi="Times New Roman" w:cs="Times New Roman"/>
          <w:color w:val="000000" w:themeColor="text1"/>
        </w:rPr>
        <w:t>（四）工程地质</w:t>
      </w:r>
    </w:p>
    <w:p w14:paraId="7B3E49D7">
      <w:pPr>
        <w:pStyle w:val="178"/>
        <w:topLinePunct/>
        <w:rPr>
          <w:rFonts w:ascii="Times New Roman" w:hAnsi="Times New Roman" w:cs="Times New Roman"/>
          <w:color w:val="000000" w:themeColor="text1"/>
        </w:rPr>
      </w:pPr>
      <w:r>
        <w:rPr>
          <w:rFonts w:ascii="Times New Roman" w:hAnsi="Times New Roman" w:cs="Times New Roman"/>
          <w:color w:val="000000" w:themeColor="text1"/>
        </w:rPr>
        <w:t xml:space="preserve">1、岩石工程地质特征 </w:t>
      </w:r>
    </w:p>
    <w:p w14:paraId="64C5520B">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矿区内出露的岩石为坚硬岩石，块状构造，岩石完整，埋藏浅，易于开采。体积密度为1.9g/c</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，致密者压缩强度很大，可高达80.8MPa，存在玻璃质及气孔时强度有所降低。玄武岩耐久性更高。</w:t>
      </w:r>
    </w:p>
    <w:p w14:paraId="59DB1ED2">
      <w:pPr>
        <w:pStyle w:val="178"/>
        <w:topLinePunct/>
        <w:rPr>
          <w:rFonts w:ascii="Times New Roman" w:hAnsi="Times New Roman" w:cs="Times New Roman"/>
          <w:color w:val="000000" w:themeColor="text1"/>
        </w:rPr>
      </w:pPr>
      <w:r>
        <w:rPr>
          <w:rFonts w:ascii="Times New Roman" w:hAnsi="Times New Roman" w:cs="Times New Roman"/>
          <w:color w:val="000000" w:themeColor="text1"/>
        </w:rPr>
        <w:t xml:space="preserve">2、露天采矿场边坡稳定性 </w:t>
      </w:r>
    </w:p>
    <w:p w14:paraId="2E571AF1">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根据矿区现有露天采场调查，采场边坡角在60°，稳定性良好，矿石节理裂隙不发育，较为完整，未见坍塌、滑坡等不良的工程地质现象，边坡较为稳定。</w:t>
      </w:r>
    </w:p>
    <w:p w14:paraId="1389CABC">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（五）矿体特征</w:t>
      </w:r>
    </w:p>
    <w:p w14:paraId="1AC2DCCA">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1、矿体特征</w:t>
      </w:r>
    </w:p>
    <w:p w14:paraId="1FEEDF00">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矿床为大面积出露的玄武岩矿体组成，矿体赋存于第三系上统黑头山组，以灰黑色玄武岩组成。呈南东向展布，矿区内矿体控制长490</w:t>
      </w:r>
      <w:r>
        <w:rPr>
          <w:rFonts w:hint="eastAsia" w:ascii="Times New Roman" w:hAnsi="Times New Roman" w:cs="Times New Roman"/>
          <w:color w:val="000000" w:themeColor="text1"/>
        </w:rPr>
        <w:t>m</w:t>
      </w:r>
      <w:r>
        <w:rPr>
          <w:rFonts w:ascii="Times New Roman" w:hAnsi="Times New Roman" w:cs="Times New Roman"/>
          <w:color w:val="000000" w:themeColor="text1"/>
        </w:rPr>
        <w:t>，宽370</w:t>
      </w:r>
      <w:r>
        <w:rPr>
          <w:rFonts w:hint="eastAsia" w:ascii="Times New Roman" w:hAnsi="Times New Roman" w:cs="Times New Roman"/>
          <w:color w:val="000000" w:themeColor="text1"/>
        </w:rPr>
        <w:t>m</w:t>
      </w:r>
      <w:r>
        <w:rPr>
          <w:rFonts w:ascii="Times New Roman" w:hAnsi="Times New Roman" w:cs="Times New Roman"/>
          <w:color w:val="000000" w:themeColor="text1"/>
        </w:rPr>
        <w:t>。</w:t>
      </w:r>
    </w:p>
    <w:p w14:paraId="7A8E6C5B">
      <w:pPr>
        <w:pStyle w:val="178"/>
        <w:topLinePunct/>
        <w:rPr>
          <w:rFonts w:ascii="Times New Roman" w:hAnsi="Times New Roman" w:cs="Times New Roman"/>
          <w:color w:val="000000" w:themeColor="text1"/>
        </w:rPr>
      </w:pPr>
      <w:r>
        <w:rPr>
          <w:rFonts w:ascii="Times New Roman" w:hAnsi="Times New Roman" w:cs="Times New Roman"/>
          <w:color w:val="000000" w:themeColor="text1"/>
        </w:rPr>
        <w:t>1） 矿石结构、构造</w:t>
      </w:r>
    </w:p>
    <w:p w14:paraId="38408B56">
      <w:pPr>
        <w:pStyle w:val="178"/>
        <w:topLinePunct/>
        <w:rPr>
          <w:rFonts w:ascii="Times New Roman" w:hAnsi="Times New Roman" w:cs="Times New Roman"/>
          <w:color w:val="000000" w:themeColor="text1"/>
        </w:rPr>
      </w:pPr>
      <w:r>
        <w:rPr>
          <w:rFonts w:ascii="Times New Roman" w:hAnsi="Times New Roman" w:cs="Times New Roman"/>
          <w:color w:val="000000" w:themeColor="text1"/>
        </w:rPr>
        <w:t>呈斑状结构，气孔构造。</w:t>
      </w:r>
    </w:p>
    <w:p w14:paraId="5F6A9A7B">
      <w:pPr>
        <w:pStyle w:val="178"/>
        <w:topLinePunct/>
        <w:rPr>
          <w:rFonts w:ascii="Times New Roman" w:hAnsi="Times New Roman" w:cs="Times New Roman"/>
          <w:color w:val="000000" w:themeColor="text1"/>
        </w:rPr>
      </w:pPr>
      <w:r>
        <w:rPr>
          <w:rFonts w:ascii="Times New Roman" w:hAnsi="Times New Roman" w:cs="Times New Roman"/>
          <w:color w:val="000000" w:themeColor="text1"/>
        </w:rPr>
        <w:t>2） 矿体顶、底板岩石特征</w:t>
      </w:r>
    </w:p>
    <w:p w14:paraId="2A3D1A76">
      <w:pPr>
        <w:pStyle w:val="178"/>
        <w:topLinePunct/>
        <w:rPr>
          <w:rFonts w:ascii="Times New Roman" w:hAnsi="Times New Roman" w:cs="Times New Roman"/>
          <w:color w:val="000000" w:themeColor="text1"/>
        </w:rPr>
      </w:pPr>
      <w:r>
        <w:rPr>
          <w:rFonts w:ascii="Times New Roman" w:hAnsi="Times New Roman" w:cs="Times New Roman"/>
          <w:color w:val="000000" w:themeColor="text1"/>
        </w:rPr>
        <w:t>该石场位于第三系上统黑头山组玄武岩矿床的中部，岩石均为玄武岩，岩性特征同矿体特征。</w:t>
      </w:r>
    </w:p>
    <w:p w14:paraId="219BD82B">
      <w:pPr>
        <w:pStyle w:val="178"/>
        <w:topLinePunct/>
        <w:rPr>
          <w:rFonts w:ascii="Times New Roman" w:hAnsi="Times New Roman" w:cs="Times New Roman"/>
          <w:color w:val="000000" w:themeColor="text1"/>
        </w:rPr>
      </w:pPr>
      <w:r>
        <w:rPr>
          <w:rFonts w:ascii="Times New Roman" w:hAnsi="Times New Roman" w:cs="Times New Roman"/>
          <w:color w:val="000000" w:themeColor="text1"/>
        </w:rPr>
        <w:t>3） 覆盖层特征</w:t>
      </w:r>
    </w:p>
    <w:p w14:paraId="004C476F">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矿体上部局部被第四系覆盖层覆盖，覆盖层由三部分组成：上部：黑色腐植土。中部：黄褐色亚粘土夹细砂。下部：亚粘土、砂夹碎石。本次确定覆盖层厚度为5</w:t>
      </w:r>
      <w:r>
        <w:rPr>
          <w:rFonts w:hint="eastAsia" w:ascii="Times New Roman" w:hAnsi="Times New Roman" w:cs="Times New Roman"/>
          <w:color w:val="000000" w:themeColor="text1"/>
        </w:rPr>
        <w:t>m</w:t>
      </w:r>
      <w:r>
        <w:rPr>
          <w:rFonts w:ascii="Times New Roman" w:hAnsi="Times New Roman" w:cs="Times New Roman"/>
          <w:color w:val="000000" w:themeColor="text1"/>
        </w:rPr>
        <w:t>。</w:t>
      </w:r>
    </w:p>
    <w:p w14:paraId="6BD82A31">
      <w:pPr>
        <w:pStyle w:val="178"/>
        <w:topLinePunct/>
        <w:rPr>
          <w:rFonts w:ascii="Times New Roman" w:hAnsi="Times New Roman" w:cs="Times New Roman"/>
          <w:color w:val="000000" w:themeColor="text1"/>
        </w:rPr>
      </w:pPr>
      <w:r>
        <w:rPr>
          <w:rFonts w:ascii="Times New Roman" w:hAnsi="Times New Roman" w:cs="Times New Roman"/>
          <w:color w:val="000000" w:themeColor="text1"/>
        </w:rPr>
        <w:t xml:space="preserve">2、矿石特征 </w:t>
      </w:r>
    </w:p>
    <w:p w14:paraId="066B1FED">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矿石呈斑状结构，气孔构造。主要矿物成分为基性斜长石、辉石、橄榄石、石英等。矿石中SiO</w:t>
      </w:r>
      <w:r>
        <w:rPr>
          <w:rFonts w:ascii="Times New Roman" w:hAnsi="Times New Roman" w:cs="Times New Roman"/>
          <w:color w:val="000000" w:themeColor="text1"/>
          <w:vertAlign w:val="subscript"/>
        </w:rPr>
        <w:t>2</w:t>
      </w:r>
      <w:r>
        <w:rPr>
          <w:rFonts w:ascii="Times New Roman" w:hAnsi="Times New Roman" w:cs="Times New Roman"/>
          <w:color w:val="000000" w:themeColor="text1"/>
        </w:rPr>
        <w:t xml:space="preserve"> 含量45% ，K</w:t>
      </w:r>
      <w:r>
        <w:rPr>
          <w:rFonts w:ascii="Times New Roman" w:hAnsi="Times New Roman" w:cs="Times New Roman"/>
          <w:color w:val="000000" w:themeColor="text1"/>
          <w:vertAlign w:val="subscript"/>
        </w:rPr>
        <w:t>2</w:t>
      </w:r>
      <w:r>
        <w:rPr>
          <w:rFonts w:ascii="Times New Roman" w:hAnsi="Times New Roman" w:cs="Times New Roman"/>
          <w:color w:val="000000" w:themeColor="text1"/>
        </w:rPr>
        <w:t>O+Na</w:t>
      </w:r>
      <w:r>
        <w:rPr>
          <w:rFonts w:ascii="Times New Roman" w:hAnsi="Times New Roman" w:cs="Times New Roman"/>
          <w:color w:val="000000" w:themeColor="text1"/>
          <w:vertAlign w:val="subscript"/>
        </w:rPr>
        <w:t>2</w:t>
      </w:r>
      <w:r>
        <w:rPr>
          <w:rFonts w:ascii="Times New Roman" w:hAnsi="Times New Roman" w:cs="Times New Roman"/>
          <w:color w:val="000000" w:themeColor="text1"/>
        </w:rPr>
        <w:t>O含量较侵入岩略高。CaO、Fe</w:t>
      </w:r>
      <w:r>
        <w:rPr>
          <w:rFonts w:ascii="Times New Roman" w:hAnsi="Times New Roman" w:cs="Times New Roman"/>
          <w:color w:val="000000" w:themeColor="text1"/>
          <w:vertAlign w:val="subscript"/>
        </w:rPr>
        <w:t>2</w:t>
      </w:r>
      <w:r>
        <w:rPr>
          <w:rFonts w:ascii="Times New Roman" w:hAnsi="Times New Roman" w:cs="Times New Roman"/>
          <w:color w:val="000000" w:themeColor="text1"/>
        </w:rPr>
        <w:t>O</w:t>
      </w:r>
      <w:r>
        <w:rPr>
          <w:rFonts w:ascii="Times New Roman" w:hAnsi="Times New Roman" w:cs="Times New Roman"/>
          <w:color w:val="000000" w:themeColor="text1"/>
          <w:vertAlign w:val="subscript"/>
        </w:rPr>
        <w:t>3</w:t>
      </w:r>
      <w:r>
        <w:rPr>
          <w:rFonts w:ascii="Times New Roman" w:hAnsi="Times New Roman" w:cs="Times New Roman"/>
          <w:color w:val="000000" w:themeColor="text1"/>
        </w:rPr>
        <w:t>+FeO、MgO含量较侵入岩略低，矿石化学成分较稳定，地表及深部矿石的化学成分变化不大。</w:t>
      </w:r>
    </w:p>
    <w:p w14:paraId="77A9B97E">
      <w:pPr>
        <w:pStyle w:val="174"/>
        <w:topLinePunct/>
        <w:rPr>
          <w:rFonts w:ascii="Times New Roman" w:hAnsi="Times New Roman" w:cs="Times New Roman"/>
          <w:color w:val="000000" w:themeColor="text1"/>
        </w:rPr>
      </w:pPr>
      <w:bookmarkStart w:id="15" w:name="_Toc23046"/>
      <w:r>
        <w:rPr>
          <w:rFonts w:ascii="Times New Roman" w:hAnsi="Times New Roman" w:cs="Times New Roman"/>
          <w:color w:val="000000" w:themeColor="text1"/>
        </w:rPr>
        <w:t>四、矿区土地利用现状及采矿用地审批情况</w:t>
      </w:r>
      <w:bookmarkEnd w:id="15"/>
    </w:p>
    <w:p w14:paraId="0010C9C6">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（一）土地利用现状及权属状况</w:t>
      </w:r>
    </w:p>
    <w:p w14:paraId="6F7A840A">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矿区范围占地面积</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。参照全国土地利用现状调查技术规程、全国土地利用现状分类标准（GB/T 21010-2017），结合鸡东县自然资源局提供的第三次土地调查土地利用现状图，同时结合矿山企业提供的矿区总工程平面布置图，通过分析各项工程在土地利用现状图上各用地类型和面积，获得项目区内各用地类型土地利用现状数据。采矿已损毁土地</w:t>
      </w:r>
      <w:r>
        <w:rPr>
          <w:rFonts w:hint="eastAsia" w:ascii="Times New Roman" w:hAnsi="Times New Roman" w:cs="Times New Roman"/>
          <w:color w:val="000000" w:themeColor="text1"/>
        </w:rPr>
        <w:t>15.09</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，未损毁土地</w:t>
      </w:r>
      <w:r>
        <w:rPr>
          <w:rFonts w:hint="eastAsia" w:ascii="Times New Roman" w:hAnsi="Times New Roman" w:cs="Times New Roman"/>
          <w:color w:val="000000" w:themeColor="text1"/>
        </w:rPr>
        <w:t>0.90</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，矿区所占耕地等级为12等，不占用基本农田。目前矿区处于占用状态未进行复垦工作。矿区土地利用现状详情见表2-1。</w:t>
      </w:r>
    </w:p>
    <w:p w14:paraId="054C3A20">
      <w:pPr>
        <w:pStyle w:val="182"/>
        <w:topLinePunct/>
        <w:ind w:firstLine="0" w:firstLineChars="0"/>
        <w:rPr>
          <w:rFonts w:ascii="Times New Roman" w:hAnsi="Times New Roman"/>
          <w:color w:val="000000" w:themeColor="text1"/>
        </w:rPr>
      </w:pPr>
      <w:r>
        <w:rPr>
          <w:rFonts w:ascii="Times New Roman" w:hAnsi="Times New Roman"/>
          <w:color w:val="000000" w:themeColor="text1"/>
        </w:rPr>
        <w:t>表2-1矿区土地利用现状面积统计表</w:t>
      </w:r>
    </w:p>
    <w:tbl>
      <w:tblPr>
        <w:tblStyle w:val="42"/>
        <w:tblW w:w="501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740"/>
        <w:gridCol w:w="2018"/>
        <w:gridCol w:w="1049"/>
        <w:gridCol w:w="1698"/>
        <w:gridCol w:w="1489"/>
        <w:gridCol w:w="2128"/>
      </w:tblGrid>
      <w:tr w14:paraId="649579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756" w:type="dxa"/>
            <w:gridSpan w:val="2"/>
            <w:tcBorders>
              <w:bottom w:val="single" w:color="auto" w:sz="4" w:space="0"/>
            </w:tcBorders>
            <w:shd w:val="clear" w:color="auto" w:fill="auto"/>
            <w:vAlign w:val="center"/>
          </w:tcPr>
          <w:p w14:paraId="1169566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一级地类</w:t>
            </w:r>
          </w:p>
        </w:tc>
        <w:tc>
          <w:tcPr>
            <w:tcW w:w="2745" w:type="dxa"/>
            <w:gridSpan w:val="2"/>
            <w:tcBorders>
              <w:bottom w:val="single" w:color="auto" w:sz="4" w:space="0"/>
            </w:tcBorders>
            <w:shd w:val="clear" w:color="auto" w:fill="auto"/>
            <w:vAlign w:val="center"/>
          </w:tcPr>
          <w:p w14:paraId="054C61F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二级地类</w:t>
            </w:r>
          </w:p>
        </w:tc>
        <w:tc>
          <w:tcPr>
            <w:tcW w:w="1488" w:type="dxa"/>
            <w:vMerge w:val="restart"/>
            <w:shd w:val="clear" w:color="auto" w:fill="auto"/>
            <w:vAlign w:val="center"/>
          </w:tcPr>
          <w:p w14:paraId="2C18C74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面积（h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2126" w:type="dxa"/>
            <w:vMerge w:val="restart"/>
            <w:shd w:val="clear" w:color="auto" w:fill="auto"/>
            <w:vAlign w:val="center"/>
          </w:tcPr>
          <w:p w14:paraId="54D9B0C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占总面积比例（%）</w:t>
            </w:r>
          </w:p>
        </w:tc>
      </w:tr>
      <w:tr w14:paraId="5C25E83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tcBorders>
              <w:top w:val="single" w:color="auto" w:sz="4" w:space="0"/>
            </w:tcBorders>
            <w:shd w:val="clear" w:color="auto" w:fill="auto"/>
            <w:vAlign w:val="center"/>
          </w:tcPr>
          <w:p w14:paraId="57D6825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编码</w:t>
            </w:r>
          </w:p>
        </w:tc>
        <w:tc>
          <w:tcPr>
            <w:tcW w:w="2016" w:type="dxa"/>
            <w:tcBorders>
              <w:top w:val="single" w:color="auto" w:sz="4" w:space="0"/>
            </w:tcBorders>
            <w:shd w:val="clear" w:color="auto" w:fill="auto"/>
            <w:vAlign w:val="center"/>
          </w:tcPr>
          <w:p w14:paraId="2889A3E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名称</w:t>
            </w:r>
          </w:p>
        </w:tc>
        <w:tc>
          <w:tcPr>
            <w:tcW w:w="1048" w:type="dxa"/>
            <w:tcBorders>
              <w:top w:val="single" w:color="auto" w:sz="4" w:space="0"/>
            </w:tcBorders>
            <w:shd w:val="clear" w:color="auto" w:fill="auto"/>
            <w:vAlign w:val="center"/>
          </w:tcPr>
          <w:p w14:paraId="03D7D9F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编码</w:t>
            </w:r>
          </w:p>
        </w:tc>
        <w:tc>
          <w:tcPr>
            <w:tcW w:w="1697" w:type="dxa"/>
            <w:tcBorders>
              <w:top w:val="single" w:color="auto" w:sz="4" w:space="0"/>
            </w:tcBorders>
            <w:shd w:val="clear" w:color="auto" w:fill="auto"/>
            <w:vAlign w:val="center"/>
          </w:tcPr>
          <w:p w14:paraId="741B5C3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名称</w:t>
            </w:r>
          </w:p>
        </w:tc>
        <w:tc>
          <w:tcPr>
            <w:tcW w:w="1488" w:type="dxa"/>
            <w:vMerge w:val="continue"/>
            <w:shd w:val="clear" w:color="auto" w:fill="auto"/>
            <w:vAlign w:val="center"/>
          </w:tcPr>
          <w:p w14:paraId="7C8F2633">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126" w:type="dxa"/>
            <w:vMerge w:val="continue"/>
            <w:shd w:val="clear" w:color="auto" w:fill="auto"/>
            <w:vAlign w:val="center"/>
          </w:tcPr>
          <w:p w14:paraId="46B8B4C8">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4702D15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vMerge w:val="restart"/>
            <w:shd w:val="clear" w:color="auto" w:fill="auto"/>
            <w:vAlign w:val="center"/>
          </w:tcPr>
          <w:p w14:paraId="3A7B4D9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w:t>
            </w:r>
          </w:p>
        </w:tc>
        <w:tc>
          <w:tcPr>
            <w:tcW w:w="2016" w:type="dxa"/>
            <w:vMerge w:val="restart"/>
            <w:shd w:val="clear" w:color="auto" w:fill="auto"/>
            <w:vAlign w:val="center"/>
          </w:tcPr>
          <w:p w14:paraId="6AD2DAF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耕地</w:t>
            </w:r>
          </w:p>
        </w:tc>
        <w:tc>
          <w:tcPr>
            <w:tcW w:w="1048" w:type="dxa"/>
            <w:shd w:val="clear" w:color="auto" w:fill="auto"/>
            <w:vAlign w:val="center"/>
          </w:tcPr>
          <w:p w14:paraId="37C8D50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0103</w:t>
            </w:r>
          </w:p>
        </w:tc>
        <w:tc>
          <w:tcPr>
            <w:tcW w:w="1697" w:type="dxa"/>
            <w:shd w:val="clear" w:color="auto" w:fill="auto"/>
            <w:vAlign w:val="center"/>
          </w:tcPr>
          <w:p w14:paraId="4C5245E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旱地</w:t>
            </w:r>
          </w:p>
        </w:tc>
        <w:tc>
          <w:tcPr>
            <w:tcW w:w="1488" w:type="dxa"/>
            <w:shd w:val="clear" w:color="auto" w:fill="auto"/>
            <w:vAlign w:val="center"/>
          </w:tcPr>
          <w:p w14:paraId="27490C0E">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0.20 </w:t>
            </w:r>
          </w:p>
        </w:tc>
        <w:tc>
          <w:tcPr>
            <w:tcW w:w="2126" w:type="dxa"/>
            <w:shd w:val="clear" w:color="auto" w:fill="auto"/>
            <w:vAlign w:val="center"/>
          </w:tcPr>
          <w:p w14:paraId="48212AD5">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1.25 </w:t>
            </w:r>
          </w:p>
        </w:tc>
      </w:tr>
      <w:tr w14:paraId="15E8B5B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vMerge w:val="continue"/>
            <w:shd w:val="clear" w:color="auto" w:fill="auto"/>
            <w:vAlign w:val="center"/>
          </w:tcPr>
          <w:p w14:paraId="54535829">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016" w:type="dxa"/>
            <w:vMerge w:val="continue"/>
            <w:shd w:val="clear" w:color="auto" w:fill="auto"/>
            <w:vAlign w:val="center"/>
          </w:tcPr>
          <w:p w14:paraId="47515902">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048" w:type="dxa"/>
            <w:shd w:val="clear" w:color="auto" w:fill="auto"/>
            <w:vAlign w:val="center"/>
          </w:tcPr>
          <w:p w14:paraId="46FCD77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c>
          <w:tcPr>
            <w:tcW w:w="1697" w:type="dxa"/>
            <w:shd w:val="clear" w:color="auto" w:fill="auto"/>
            <w:vAlign w:val="center"/>
          </w:tcPr>
          <w:p w14:paraId="169E409A">
            <w:pPr>
              <w:topLinePunct/>
              <w:snapToGrid w:val="0"/>
              <w:spacing w:line="240" w:lineRule="auto"/>
              <w:jc w:val="center"/>
              <w:rPr>
                <w:rFonts w:ascii="Times New Roman" w:hAnsi="Times New Roman" w:cs="Times New Roman"/>
                <w:color w:val="000000" w:themeColor="text1"/>
                <w:kern w:val="0"/>
                <w:sz w:val="24"/>
                <w:szCs w:val="24"/>
              </w:rPr>
            </w:pPr>
          </w:p>
        </w:tc>
        <w:tc>
          <w:tcPr>
            <w:tcW w:w="1488" w:type="dxa"/>
            <w:shd w:val="clear" w:color="auto" w:fill="auto"/>
            <w:vAlign w:val="center"/>
          </w:tcPr>
          <w:p w14:paraId="0C9D5AFD">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0.20 </w:t>
            </w:r>
          </w:p>
        </w:tc>
        <w:tc>
          <w:tcPr>
            <w:tcW w:w="2126" w:type="dxa"/>
            <w:shd w:val="clear" w:color="auto" w:fill="auto"/>
            <w:vAlign w:val="center"/>
          </w:tcPr>
          <w:p w14:paraId="1E9CF666">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1.25 </w:t>
            </w:r>
          </w:p>
        </w:tc>
      </w:tr>
      <w:tr w14:paraId="4B4CC1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vMerge w:val="restart"/>
            <w:shd w:val="clear" w:color="auto" w:fill="auto"/>
            <w:vAlign w:val="center"/>
          </w:tcPr>
          <w:p w14:paraId="5367400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w:t>
            </w:r>
            <w:r>
              <w:rPr>
                <w:rFonts w:hint="eastAsia" w:ascii="Times New Roman" w:hAnsi="Times New Roman" w:cs="Times New Roman"/>
                <w:color w:val="000000" w:themeColor="text1"/>
                <w:kern w:val="0"/>
                <w:sz w:val="24"/>
                <w:szCs w:val="24"/>
              </w:rPr>
              <w:t>4</w:t>
            </w:r>
          </w:p>
        </w:tc>
        <w:tc>
          <w:tcPr>
            <w:tcW w:w="2016" w:type="dxa"/>
            <w:vMerge w:val="restart"/>
            <w:shd w:val="clear" w:color="auto" w:fill="auto"/>
            <w:vAlign w:val="center"/>
          </w:tcPr>
          <w:p w14:paraId="35E0665D">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草地</w:t>
            </w:r>
          </w:p>
        </w:tc>
        <w:tc>
          <w:tcPr>
            <w:tcW w:w="1048" w:type="dxa"/>
            <w:shd w:val="clear" w:color="auto" w:fill="auto"/>
            <w:vAlign w:val="center"/>
          </w:tcPr>
          <w:p w14:paraId="70DD62AC">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0404</w:t>
            </w:r>
          </w:p>
        </w:tc>
        <w:tc>
          <w:tcPr>
            <w:tcW w:w="1697" w:type="dxa"/>
            <w:shd w:val="clear" w:color="auto" w:fill="auto"/>
            <w:vAlign w:val="center"/>
          </w:tcPr>
          <w:p w14:paraId="1CA1108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w:t>
            </w:r>
            <w:r>
              <w:rPr>
                <w:rFonts w:hint="eastAsia" w:ascii="Times New Roman" w:hAnsi="Times New Roman" w:cs="Times New Roman"/>
                <w:color w:val="000000" w:themeColor="text1"/>
                <w:kern w:val="0"/>
                <w:sz w:val="24"/>
                <w:szCs w:val="24"/>
              </w:rPr>
              <w:t>草地</w:t>
            </w:r>
          </w:p>
        </w:tc>
        <w:tc>
          <w:tcPr>
            <w:tcW w:w="1488" w:type="dxa"/>
            <w:shd w:val="clear" w:color="auto" w:fill="auto"/>
            <w:vAlign w:val="center"/>
          </w:tcPr>
          <w:p w14:paraId="53C10EC9">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0.70</w:t>
            </w:r>
          </w:p>
        </w:tc>
        <w:tc>
          <w:tcPr>
            <w:tcW w:w="2126" w:type="dxa"/>
            <w:shd w:val="clear" w:color="auto" w:fill="auto"/>
            <w:vAlign w:val="center"/>
          </w:tcPr>
          <w:p w14:paraId="5CC1130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4.38 </w:t>
            </w:r>
          </w:p>
        </w:tc>
      </w:tr>
      <w:tr w14:paraId="3DC092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vMerge w:val="continue"/>
            <w:shd w:val="clear" w:color="auto" w:fill="auto"/>
            <w:vAlign w:val="center"/>
          </w:tcPr>
          <w:p w14:paraId="32BA768D">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016" w:type="dxa"/>
            <w:vMerge w:val="continue"/>
            <w:shd w:val="clear" w:color="auto" w:fill="auto"/>
            <w:vAlign w:val="center"/>
          </w:tcPr>
          <w:p w14:paraId="1795654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048" w:type="dxa"/>
            <w:shd w:val="clear" w:color="auto" w:fill="auto"/>
            <w:vAlign w:val="center"/>
          </w:tcPr>
          <w:p w14:paraId="1B38D41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c>
          <w:tcPr>
            <w:tcW w:w="1697" w:type="dxa"/>
            <w:shd w:val="clear" w:color="auto" w:fill="auto"/>
            <w:vAlign w:val="center"/>
          </w:tcPr>
          <w:p w14:paraId="21BF950E">
            <w:pPr>
              <w:topLinePunct/>
              <w:snapToGrid w:val="0"/>
              <w:spacing w:line="240" w:lineRule="auto"/>
              <w:jc w:val="center"/>
              <w:rPr>
                <w:rFonts w:ascii="Times New Roman" w:hAnsi="Times New Roman" w:cs="Times New Roman"/>
                <w:color w:val="000000" w:themeColor="text1"/>
                <w:kern w:val="0"/>
                <w:sz w:val="24"/>
                <w:szCs w:val="24"/>
              </w:rPr>
            </w:pPr>
          </w:p>
        </w:tc>
        <w:tc>
          <w:tcPr>
            <w:tcW w:w="1488" w:type="dxa"/>
            <w:shd w:val="clear" w:color="auto" w:fill="auto"/>
            <w:vAlign w:val="center"/>
          </w:tcPr>
          <w:p w14:paraId="520BA4DB">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0.70</w:t>
            </w:r>
          </w:p>
        </w:tc>
        <w:tc>
          <w:tcPr>
            <w:tcW w:w="2126" w:type="dxa"/>
            <w:shd w:val="clear" w:color="auto" w:fill="auto"/>
            <w:vAlign w:val="center"/>
          </w:tcPr>
          <w:p w14:paraId="0309F18B">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4.38 </w:t>
            </w:r>
          </w:p>
        </w:tc>
      </w:tr>
      <w:tr w14:paraId="3C2A98A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vMerge w:val="restart"/>
            <w:shd w:val="clear" w:color="auto" w:fill="auto"/>
            <w:noWrap/>
            <w:vAlign w:val="center"/>
          </w:tcPr>
          <w:p w14:paraId="7D080BD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w:t>
            </w:r>
          </w:p>
        </w:tc>
        <w:tc>
          <w:tcPr>
            <w:tcW w:w="2016" w:type="dxa"/>
            <w:vMerge w:val="restart"/>
            <w:shd w:val="clear" w:color="auto" w:fill="auto"/>
            <w:vAlign w:val="center"/>
          </w:tcPr>
          <w:p w14:paraId="71891E7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工矿仓储用地</w:t>
            </w:r>
          </w:p>
        </w:tc>
        <w:tc>
          <w:tcPr>
            <w:tcW w:w="1048" w:type="dxa"/>
            <w:shd w:val="clear" w:color="auto" w:fill="auto"/>
            <w:vAlign w:val="center"/>
          </w:tcPr>
          <w:p w14:paraId="24A05F6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0602</w:t>
            </w:r>
          </w:p>
        </w:tc>
        <w:tc>
          <w:tcPr>
            <w:tcW w:w="1697" w:type="dxa"/>
            <w:shd w:val="clear" w:color="auto" w:fill="auto"/>
            <w:vAlign w:val="center"/>
          </w:tcPr>
          <w:p w14:paraId="10764C8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采矿用地</w:t>
            </w:r>
          </w:p>
        </w:tc>
        <w:tc>
          <w:tcPr>
            <w:tcW w:w="1488" w:type="dxa"/>
            <w:shd w:val="clear" w:color="auto" w:fill="auto"/>
            <w:noWrap/>
            <w:vAlign w:val="center"/>
          </w:tcPr>
          <w:p w14:paraId="422353B5">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15.09 </w:t>
            </w:r>
          </w:p>
        </w:tc>
        <w:tc>
          <w:tcPr>
            <w:tcW w:w="2126" w:type="dxa"/>
            <w:shd w:val="clear" w:color="auto" w:fill="auto"/>
            <w:noWrap/>
            <w:vAlign w:val="center"/>
          </w:tcPr>
          <w:p w14:paraId="0442F821">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94.37 </w:t>
            </w:r>
          </w:p>
        </w:tc>
      </w:tr>
      <w:tr w14:paraId="711E58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vMerge w:val="continue"/>
            <w:shd w:val="clear" w:color="auto" w:fill="auto"/>
            <w:noWrap/>
            <w:vAlign w:val="center"/>
          </w:tcPr>
          <w:p w14:paraId="2490AB9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016" w:type="dxa"/>
            <w:vMerge w:val="continue"/>
            <w:shd w:val="clear" w:color="auto" w:fill="auto"/>
            <w:vAlign w:val="center"/>
          </w:tcPr>
          <w:p w14:paraId="5F2A8CF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048" w:type="dxa"/>
            <w:shd w:val="clear" w:color="auto" w:fill="auto"/>
            <w:vAlign w:val="center"/>
          </w:tcPr>
          <w:p w14:paraId="7C62EB4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c>
          <w:tcPr>
            <w:tcW w:w="1697" w:type="dxa"/>
            <w:shd w:val="clear" w:color="auto" w:fill="auto"/>
            <w:vAlign w:val="center"/>
          </w:tcPr>
          <w:p w14:paraId="2ED62339">
            <w:pPr>
              <w:topLinePunct/>
              <w:snapToGrid w:val="0"/>
              <w:spacing w:line="240" w:lineRule="auto"/>
              <w:jc w:val="center"/>
              <w:rPr>
                <w:rFonts w:ascii="Times New Roman" w:hAnsi="Times New Roman" w:cs="Times New Roman"/>
                <w:color w:val="000000" w:themeColor="text1"/>
                <w:kern w:val="0"/>
                <w:sz w:val="24"/>
                <w:szCs w:val="24"/>
              </w:rPr>
            </w:pPr>
          </w:p>
        </w:tc>
        <w:tc>
          <w:tcPr>
            <w:tcW w:w="1488" w:type="dxa"/>
            <w:shd w:val="clear" w:color="auto" w:fill="auto"/>
            <w:noWrap/>
            <w:vAlign w:val="center"/>
          </w:tcPr>
          <w:p w14:paraId="6A913092">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15.09 </w:t>
            </w:r>
          </w:p>
        </w:tc>
        <w:tc>
          <w:tcPr>
            <w:tcW w:w="2126" w:type="dxa"/>
            <w:shd w:val="clear" w:color="auto" w:fill="auto"/>
            <w:noWrap/>
            <w:vAlign w:val="center"/>
          </w:tcPr>
          <w:p w14:paraId="3AD256AB">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94.37 </w:t>
            </w:r>
          </w:p>
        </w:tc>
      </w:tr>
      <w:tr w14:paraId="530854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5501" w:type="dxa"/>
            <w:gridSpan w:val="4"/>
            <w:shd w:val="clear" w:color="auto" w:fill="auto"/>
            <w:vAlign w:val="center"/>
          </w:tcPr>
          <w:p w14:paraId="52DE1F4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1488" w:type="dxa"/>
            <w:shd w:val="clear" w:color="auto" w:fill="auto"/>
            <w:vAlign w:val="center"/>
          </w:tcPr>
          <w:p w14:paraId="6476105A">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15.99</w:t>
            </w:r>
          </w:p>
        </w:tc>
        <w:tc>
          <w:tcPr>
            <w:tcW w:w="2126" w:type="dxa"/>
            <w:shd w:val="clear" w:color="auto" w:fill="auto"/>
            <w:noWrap/>
            <w:vAlign w:val="center"/>
          </w:tcPr>
          <w:p w14:paraId="38E391A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100.00</w:t>
            </w:r>
          </w:p>
        </w:tc>
      </w:tr>
    </w:tbl>
    <w:p w14:paraId="7607DBD7">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矿区内耕地面积为</w:t>
      </w:r>
      <w:r>
        <w:rPr>
          <w:rFonts w:hint="eastAsia" w:ascii="Times New Roman" w:hAnsi="Times New Roman" w:cs="Times New Roman"/>
          <w:color w:val="000000" w:themeColor="text1"/>
        </w:rPr>
        <w:t>0.20</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，占矿区面积</w:t>
      </w:r>
      <w:r>
        <w:rPr>
          <w:rFonts w:hint="eastAsia" w:ascii="Times New Roman" w:hAnsi="Times New Roman" w:cs="Times New Roman"/>
          <w:color w:val="000000" w:themeColor="text1"/>
        </w:rPr>
        <w:t>1.25</w:t>
      </w:r>
      <w:r>
        <w:rPr>
          <w:rFonts w:ascii="Times New Roman" w:hAnsi="Times New Roman" w:cs="Times New Roman"/>
          <w:color w:val="000000" w:themeColor="text1"/>
        </w:rPr>
        <w:t>%；</w:t>
      </w:r>
      <w:r>
        <w:rPr>
          <w:rFonts w:hint="eastAsia" w:ascii="Times New Roman" w:hAnsi="Times New Roman" w:cs="Times New Roman"/>
          <w:color w:val="000000" w:themeColor="text1"/>
        </w:rPr>
        <w:t>草地</w:t>
      </w:r>
      <w:r>
        <w:rPr>
          <w:rFonts w:ascii="Times New Roman" w:hAnsi="Times New Roman" w:cs="Times New Roman"/>
          <w:color w:val="000000" w:themeColor="text1"/>
        </w:rPr>
        <w:t>面积为</w:t>
      </w:r>
      <w:r>
        <w:rPr>
          <w:rFonts w:hint="eastAsia" w:ascii="Times New Roman" w:hAnsi="Times New Roman" w:cs="Times New Roman"/>
          <w:color w:val="000000" w:themeColor="text1"/>
        </w:rPr>
        <w:t>0.70</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，占矿区面积</w:t>
      </w:r>
      <w:r>
        <w:rPr>
          <w:rFonts w:hint="eastAsia" w:ascii="Times New Roman" w:hAnsi="Times New Roman" w:cs="Times New Roman"/>
          <w:color w:val="000000" w:themeColor="text1"/>
        </w:rPr>
        <w:t>4.38</w:t>
      </w:r>
      <w:r>
        <w:rPr>
          <w:rFonts w:ascii="Times New Roman" w:hAnsi="Times New Roman" w:cs="Times New Roman"/>
          <w:color w:val="000000" w:themeColor="text1"/>
        </w:rPr>
        <w:t>%；采矿用地面积为</w:t>
      </w:r>
      <w:r>
        <w:rPr>
          <w:rFonts w:hint="eastAsia" w:ascii="Times New Roman" w:hAnsi="Times New Roman" w:cs="Times New Roman"/>
          <w:color w:val="000000" w:themeColor="text1"/>
        </w:rPr>
        <w:t>15.09</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，占矿区面积</w:t>
      </w:r>
      <w:r>
        <w:rPr>
          <w:rFonts w:hint="eastAsia" w:ascii="Times New Roman" w:hAnsi="Times New Roman" w:cs="Times New Roman"/>
          <w:color w:val="000000" w:themeColor="text1"/>
        </w:rPr>
        <w:t>94.37</w:t>
      </w:r>
      <w:r>
        <w:rPr>
          <w:rFonts w:ascii="Times New Roman" w:hAnsi="Times New Roman" w:cs="Times New Roman"/>
          <w:color w:val="000000" w:themeColor="text1"/>
        </w:rPr>
        <w:t>%。矿区占地以采矿用地为主，耕地等级为12等，不占用基本农田。权属详见下表。</w:t>
      </w:r>
    </w:p>
    <w:p w14:paraId="4E0AD3EC">
      <w:pPr>
        <w:pStyle w:val="182"/>
        <w:topLinePunct/>
        <w:ind w:firstLine="0" w:firstLineChars="0"/>
        <w:rPr>
          <w:rFonts w:hint="eastAsia" w:ascii="Times New Roman" w:hAnsi="Times New Roman" w:eastAsia="宋体"/>
          <w:color w:val="000000" w:themeColor="text1"/>
          <w:vertAlign w:val="superscript"/>
          <w:lang w:eastAsia="zh-CN"/>
        </w:rPr>
      </w:pPr>
      <w:r>
        <w:rPr>
          <w:rFonts w:ascii="Times New Roman" w:hAnsi="Times New Roman"/>
          <w:color w:val="000000" w:themeColor="text1"/>
        </w:rPr>
        <w:t xml:space="preserve">表2-2 </w:t>
      </w:r>
      <w:r>
        <w:rPr>
          <w:rFonts w:hint="eastAsia" w:ascii="Times New Roman" w:hAnsi="Times New Roman"/>
          <w:color w:val="000000" w:themeColor="text1"/>
        </w:rPr>
        <w:t>鸡东县永平采石场</w:t>
      </w:r>
      <w:r>
        <w:rPr>
          <w:rFonts w:ascii="Times New Roman" w:hAnsi="Times New Roman"/>
          <w:color w:val="000000" w:themeColor="text1"/>
        </w:rPr>
        <w:t>土地权属表 单位：h</w:t>
      </w:r>
      <w:r>
        <w:rPr>
          <w:rFonts w:hint="eastAsia" w:ascii="Times New Roman" w:hAnsi="Times New Roman"/>
          <w:color w:val="000000" w:themeColor="text1"/>
          <w:lang w:eastAsia="zh-CN"/>
        </w:rPr>
        <w:t>m</w:t>
      </w:r>
      <w:r>
        <w:rPr>
          <w:rFonts w:hint="eastAsia" w:ascii="Times New Roman" w:hAnsi="Times New Roman"/>
          <w:strike w:val="0"/>
          <w:dstrike w:val="0"/>
          <w:color w:val="000000" w:themeColor="text1"/>
          <w:vertAlign w:val="superscript"/>
          <w:lang w:eastAsia="zh-CN"/>
        </w:rPr>
        <w:t>2</w:t>
      </w:r>
    </w:p>
    <w:tbl>
      <w:tblPr>
        <w:tblStyle w:val="42"/>
        <w:tblW w:w="501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2731"/>
        <w:gridCol w:w="1387"/>
        <w:gridCol w:w="1456"/>
        <w:gridCol w:w="2174"/>
        <w:gridCol w:w="1387"/>
      </w:tblGrid>
      <w:tr w14:paraId="47368C2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blHeader/>
          <w:jc w:val="center"/>
        </w:trPr>
        <w:tc>
          <w:tcPr>
            <w:tcW w:w="1494" w:type="pct"/>
            <w:vMerge w:val="restart"/>
            <w:vAlign w:val="center"/>
          </w:tcPr>
          <w:p w14:paraId="7B5F7E3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权属</w:t>
            </w:r>
          </w:p>
        </w:tc>
        <w:tc>
          <w:tcPr>
            <w:tcW w:w="3505" w:type="pct"/>
            <w:gridSpan w:val="4"/>
            <w:vAlign w:val="center"/>
          </w:tcPr>
          <w:p w14:paraId="459C6B68">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地类</w:t>
            </w:r>
          </w:p>
        </w:tc>
      </w:tr>
      <w:tr w14:paraId="18DF5D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blHeader/>
          <w:jc w:val="center"/>
        </w:trPr>
        <w:tc>
          <w:tcPr>
            <w:tcW w:w="1494" w:type="pct"/>
            <w:vMerge w:val="continue"/>
            <w:vAlign w:val="center"/>
          </w:tcPr>
          <w:p w14:paraId="7C9596E3">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759" w:type="pct"/>
            <w:tcBorders>
              <w:left w:val="single" w:color="auto" w:sz="4" w:space="0"/>
              <w:right w:val="single" w:color="auto" w:sz="4" w:space="0"/>
            </w:tcBorders>
            <w:vAlign w:val="center"/>
          </w:tcPr>
          <w:p w14:paraId="3BA7C6B7">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w:t>
            </w:r>
          </w:p>
          <w:p w14:paraId="5966C3B8">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耕地</w:t>
            </w:r>
          </w:p>
        </w:tc>
        <w:tc>
          <w:tcPr>
            <w:tcW w:w="797" w:type="pct"/>
            <w:tcBorders>
              <w:left w:val="single" w:color="auto" w:sz="4" w:space="0"/>
              <w:right w:val="single" w:color="auto" w:sz="4" w:space="0"/>
            </w:tcBorders>
            <w:shd w:val="clear" w:color="auto" w:fill="auto"/>
            <w:vAlign w:val="center"/>
          </w:tcPr>
          <w:p w14:paraId="5D11A721">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04</w:t>
            </w:r>
          </w:p>
          <w:p w14:paraId="3A2620E6">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草地</w:t>
            </w:r>
          </w:p>
        </w:tc>
        <w:tc>
          <w:tcPr>
            <w:tcW w:w="1190" w:type="pct"/>
            <w:tcBorders>
              <w:left w:val="single" w:color="auto" w:sz="4" w:space="0"/>
              <w:right w:val="single" w:color="auto" w:sz="4" w:space="0"/>
            </w:tcBorders>
            <w:vAlign w:val="center"/>
          </w:tcPr>
          <w:p w14:paraId="650549E7">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06工矿仓储用地</w:t>
            </w:r>
          </w:p>
        </w:tc>
        <w:tc>
          <w:tcPr>
            <w:tcW w:w="758" w:type="pct"/>
            <w:vAlign w:val="center"/>
          </w:tcPr>
          <w:p w14:paraId="49B8EA03">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r>
      <w:tr w14:paraId="17679B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blHeader/>
          <w:jc w:val="center"/>
        </w:trPr>
        <w:tc>
          <w:tcPr>
            <w:tcW w:w="1494" w:type="pct"/>
            <w:vMerge w:val="continue"/>
            <w:vAlign w:val="center"/>
          </w:tcPr>
          <w:p w14:paraId="0706F70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759" w:type="pct"/>
            <w:tcBorders>
              <w:left w:val="single" w:color="auto" w:sz="4" w:space="0"/>
              <w:right w:val="single" w:color="auto" w:sz="4" w:space="0"/>
            </w:tcBorders>
            <w:vAlign w:val="center"/>
          </w:tcPr>
          <w:p w14:paraId="0181918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0103</w:t>
            </w:r>
          </w:p>
        </w:tc>
        <w:tc>
          <w:tcPr>
            <w:tcW w:w="797" w:type="pct"/>
            <w:tcBorders>
              <w:left w:val="single" w:color="auto" w:sz="4" w:space="0"/>
              <w:right w:val="single" w:color="auto" w:sz="4" w:space="0"/>
            </w:tcBorders>
            <w:vAlign w:val="center"/>
          </w:tcPr>
          <w:p w14:paraId="70A7DFA2">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0404</w:t>
            </w:r>
          </w:p>
        </w:tc>
        <w:tc>
          <w:tcPr>
            <w:tcW w:w="1190" w:type="pct"/>
            <w:tcBorders>
              <w:left w:val="single" w:color="auto" w:sz="4" w:space="0"/>
              <w:right w:val="single" w:color="auto" w:sz="4" w:space="0"/>
            </w:tcBorders>
            <w:vAlign w:val="center"/>
          </w:tcPr>
          <w:p w14:paraId="43CB3A6D">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0602</w:t>
            </w:r>
          </w:p>
        </w:tc>
        <w:tc>
          <w:tcPr>
            <w:tcW w:w="758" w:type="pct"/>
            <w:vAlign w:val="center"/>
          </w:tcPr>
          <w:p w14:paraId="248D0E7C">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1E2201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blHeader/>
          <w:jc w:val="center"/>
        </w:trPr>
        <w:tc>
          <w:tcPr>
            <w:tcW w:w="1494" w:type="pct"/>
            <w:vMerge w:val="continue"/>
            <w:vAlign w:val="center"/>
          </w:tcPr>
          <w:p w14:paraId="292020F2">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759" w:type="pct"/>
            <w:tcBorders>
              <w:left w:val="single" w:color="auto" w:sz="4" w:space="0"/>
              <w:right w:val="single" w:color="auto" w:sz="4" w:space="0"/>
            </w:tcBorders>
            <w:vAlign w:val="center"/>
          </w:tcPr>
          <w:p w14:paraId="7D914195">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旱地</w:t>
            </w:r>
          </w:p>
        </w:tc>
        <w:tc>
          <w:tcPr>
            <w:tcW w:w="797" w:type="pct"/>
            <w:tcBorders>
              <w:left w:val="single" w:color="auto" w:sz="4" w:space="0"/>
              <w:right w:val="single" w:color="auto" w:sz="4" w:space="0"/>
            </w:tcBorders>
            <w:vAlign w:val="center"/>
          </w:tcPr>
          <w:p w14:paraId="6997F24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w:t>
            </w:r>
            <w:r>
              <w:rPr>
                <w:rFonts w:hint="eastAsia" w:ascii="Times New Roman" w:hAnsi="Times New Roman" w:cs="Times New Roman"/>
                <w:color w:val="000000" w:themeColor="text1"/>
                <w:kern w:val="0"/>
                <w:sz w:val="24"/>
                <w:szCs w:val="24"/>
              </w:rPr>
              <w:t>草地</w:t>
            </w:r>
          </w:p>
        </w:tc>
        <w:tc>
          <w:tcPr>
            <w:tcW w:w="1190" w:type="pct"/>
            <w:tcBorders>
              <w:left w:val="single" w:color="auto" w:sz="4" w:space="0"/>
              <w:right w:val="single" w:color="auto" w:sz="4" w:space="0"/>
            </w:tcBorders>
            <w:vAlign w:val="center"/>
          </w:tcPr>
          <w:p w14:paraId="68179717">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采矿用地</w:t>
            </w:r>
          </w:p>
        </w:tc>
        <w:tc>
          <w:tcPr>
            <w:tcW w:w="758" w:type="pct"/>
            <w:vAlign w:val="center"/>
          </w:tcPr>
          <w:p w14:paraId="2FEF95D5">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35600A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65" w:hRule="atLeast"/>
          <w:jc w:val="center"/>
        </w:trPr>
        <w:tc>
          <w:tcPr>
            <w:tcW w:w="1494" w:type="pct"/>
            <w:shd w:val="clear" w:color="auto" w:fill="auto"/>
            <w:vAlign w:val="center"/>
          </w:tcPr>
          <w:p w14:paraId="34AE091C">
            <w:pPr>
              <w:widowControl/>
              <w:jc w:val="center"/>
              <w:textAlignment w:val="center"/>
              <w:rPr>
                <w:rFonts w:ascii="Times New Roman" w:hAnsi="Times New Roman" w:cs="Times New Roman"/>
                <w:color w:val="000000" w:themeColor="text1"/>
                <w:kern w:val="0"/>
                <w:sz w:val="24"/>
                <w:szCs w:val="24"/>
              </w:rPr>
            </w:pPr>
            <w:r>
              <w:rPr>
                <w:rFonts w:hint="eastAsia" w:ascii="宋体" w:hAnsi="宋体" w:cs="宋体"/>
                <w:color w:val="000000" w:themeColor="text1"/>
                <w:kern w:val="0"/>
                <w:sz w:val="24"/>
                <w:szCs w:val="24"/>
              </w:rPr>
              <w:t>永红村集体</w:t>
            </w:r>
          </w:p>
        </w:tc>
        <w:tc>
          <w:tcPr>
            <w:tcW w:w="759" w:type="pct"/>
            <w:tcBorders>
              <w:left w:val="single" w:color="auto" w:sz="4" w:space="0"/>
              <w:right w:val="single" w:color="auto" w:sz="4" w:space="0"/>
            </w:tcBorders>
            <w:vAlign w:val="center"/>
          </w:tcPr>
          <w:p w14:paraId="4123C36D">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0.10</w:t>
            </w:r>
          </w:p>
        </w:tc>
        <w:tc>
          <w:tcPr>
            <w:tcW w:w="797" w:type="pct"/>
            <w:tcBorders>
              <w:left w:val="single" w:color="auto" w:sz="4" w:space="0"/>
              <w:right w:val="single" w:color="auto" w:sz="4" w:space="0"/>
            </w:tcBorders>
            <w:vAlign w:val="center"/>
          </w:tcPr>
          <w:p w14:paraId="5B83E72C">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0.20</w:t>
            </w:r>
          </w:p>
        </w:tc>
        <w:tc>
          <w:tcPr>
            <w:tcW w:w="1190" w:type="pct"/>
            <w:tcBorders>
              <w:left w:val="single" w:color="auto" w:sz="4" w:space="0"/>
              <w:right w:val="single" w:color="auto" w:sz="4" w:space="0"/>
            </w:tcBorders>
            <w:vAlign w:val="center"/>
          </w:tcPr>
          <w:p w14:paraId="21D5B71B">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7.50</w:t>
            </w:r>
          </w:p>
        </w:tc>
        <w:tc>
          <w:tcPr>
            <w:tcW w:w="758" w:type="pct"/>
            <w:vAlign w:val="center"/>
          </w:tcPr>
          <w:p w14:paraId="33222977">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7.80</w:t>
            </w:r>
          </w:p>
        </w:tc>
      </w:tr>
      <w:tr w14:paraId="117DBD7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65" w:hRule="atLeast"/>
          <w:jc w:val="center"/>
        </w:trPr>
        <w:tc>
          <w:tcPr>
            <w:tcW w:w="1494" w:type="pct"/>
            <w:shd w:val="clear" w:color="auto" w:fill="auto"/>
            <w:vAlign w:val="center"/>
          </w:tcPr>
          <w:p w14:paraId="0E61F1D5">
            <w:pPr>
              <w:widowControl/>
              <w:jc w:val="center"/>
              <w:textAlignment w:val="center"/>
              <w:rPr>
                <w:rFonts w:ascii="Times New Roman" w:hAnsi="Times New Roman" w:cs="Times New Roman"/>
                <w:color w:val="000000" w:themeColor="text1"/>
                <w:kern w:val="0"/>
                <w:sz w:val="24"/>
                <w:szCs w:val="24"/>
              </w:rPr>
            </w:pPr>
            <w:r>
              <w:rPr>
                <w:rFonts w:hint="eastAsia" w:ascii="宋体" w:hAnsi="宋体" w:cs="宋体"/>
                <w:color w:val="000000" w:themeColor="text1"/>
                <w:kern w:val="0"/>
                <w:sz w:val="24"/>
                <w:szCs w:val="24"/>
              </w:rPr>
              <w:t>永平村永久村民组集体</w:t>
            </w:r>
          </w:p>
        </w:tc>
        <w:tc>
          <w:tcPr>
            <w:tcW w:w="759" w:type="pct"/>
            <w:tcBorders>
              <w:left w:val="single" w:color="auto" w:sz="4" w:space="0"/>
              <w:right w:val="single" w:color="auto" w:sz="4" w:space="0"/>
            </w:tcBorders>
            <w:vAlign w:val="center"/>
          </w:tcPr>
          <w:p w14:paraId="00AA3EC6">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0.10</w:t>
            </w:r>
          </w:p>
        </w:tc>
        <w:tc>
          <w:tcPr>
            <w:tcW w:w="797" w:type="pct"/>
            <w:tcBorders>
              <w:left w:val="single" w:color="auto" w:sz="4" w:space="0"/>
              <w:right w:val="single" w:color="auto" w:sz="4" w:space="0"/>
            </w:tcBorders>
            <w:vAlign w:val="center"/>
          </w:tcPr>
          <w:p w14:paraId="1444D96A">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0.50</w:t>
            </w:r>
          </w:p>
        </w:tc>
        <w:tc>
          <w:tcPr>
            <w:tcW w:w="1190" w:type="pct"/>
            <w:tcBorders>
              <w:left w:val="single" w:color="auto" w:sz="4" w:space="0"/>
              <w:right w:val="single" w:color="auto" w:sz="4" w:space="0"/>
            </w:tcBorders>
            <w:vAlign w:val="center"/>
          </w:tcPr>
          <w:p w14:paraId="3604F4B9">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7.59</w:t>
            </w:r>
          </w:p>
        </w:tc>
        <w:tc>
          <w:tcPr>
            <w:tcW w:w="758" w:type="pct"/>
            <w:vAlign w:val="center"/>
          </w:tcPr>
          <w:p w14:paraId="46CF8EAE">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8.19</w:t>
            </w:r>
          </w:p>
        </w:tc>
      </w:tr>
      <w:tr w14:paraId="0907F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94" w:type="pct"/>
            <w:shd w:val="clear" w:color="auto" w:fill="auto"/>
            <w:vAlign w:val="center"/>
          </w:tcPr>
          <w:p w14:paraId="6B8FEE7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总计</w:t>
            </w:r>
          </w:p>
        </w:tc>
        <w:tc>
          <w:tcPr>
            <w:tcW w:w="759" w:type="pct"/>
            <w:tcBorders>
              <w:left w:val="single" w:color="auto" w:sz="4" w:space="0"/>
              <w:right w:val="single" w:color="auto" w:sz="4" w:space="0"/>
            </w:tcBorders>
            <w:vAlign w:val="center"/>
          </w:tcPr>
          <w:p w14:paraId="39F091D7">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0.20</w:t>
            </w:r>
          </w:p>
        </w:tc>
        <w:tc>
          <w:tcPr>
            <w:tcW w:w="797" w:type="pct"/>
            <w:tcBorders>
              <w:left w:val="single" w:color="auto" w:sz="4" w:space="0"/>
              <w:right w:val="single" w:color="auto" w:sz="4" w:space="0"/>
            </w:tcBorders>
            <w:vAlign w:val="center"/>
          </w:tcPr>
          <w:p w14:paraId="5329D8A0">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0.70</w:t>
            </w:r>
          </w:p>
        </w:tc>
        <w:tc>
          <w:tcPr>
            <w:tcW w:w="1190" w:type="pct"/>
            <w:tcBorders>
              <w:left w:val="single" w:color="auto" w:sz="4" w:space="0"/>
              <w:right w:val="single" w:color="auto" w:sz="4" w:space="0"/>
            </w:tcBorders>
            <w:vAlign w:val="center"/>
          </w:tcPr>
          <w:p w14:paraId="5AE2E104">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15.09</w:t>
            </w:r>
          </w:p>
        </w:tc>
        <w:tc>
          <w:tcPr>
            <w:tcW w:w="758" w:type="pct"/>
            <w:vAlign w:val="center"/>
          </w:tcPr>
          <w:p w14:paraId="18C69E6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15.99</w:t>
            </w:r>
          </w:p>
        </w:tc>
      </w:tr>
    </w:tbl>
    <w:p w14:paraId="479E0303">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（二）采矿用地申请批准情况</w:t>
      </w:r>
    </w:p>
    <w:p w14:paraId="779CFB07">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 xml:space="preserve">采矿许可证已核准范围（面积 </w:t>
      </w:r>
      <w:r>
        <w:rPr>
          <w:rFonts w:hint="eastAsia" w:ascii="Times New Roman" w:hAnsi="Times New Roman" w:cs="Times New Roman"/>
          <w:color w:val="000000" w:themeColor="text1"/>
        </w:rPr>
        <w:t>0.1599</w:t>
      </w:r>
      <w:r>
        <w:rPr>
          <w:rFonts w:ascii="Times New Roman" w:hAnsi="Times New Roman" w:cs="Times New Roman"/>
          <w:color w:val="000000" w:themeColor="text1"/>
        </w:rPr>
        <w:t>k</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）与土地利用现状中的范围一致。</w:t>
      </w:r>
    </w:p>
    <w:p w14:paraId="4357CDCA">
      <w:pPr>
        <w:pStyle w:val="178"/>
        <w:topLinePunct/>
        <w:rPr>
          <w:rFonts w:ascii="Times New Roman" w:hAnsi="Times New Roman" w:cs="Times New Roman"/>
          <w:color w:val="000000" w:themeColor="text1"/>
        </w:rPr>
      </w:pPr>
      <w:r>
        <w:rPr>
          <w:rFonts w:ascii="Times New Roman" w:hAnsi="Times New Roman" w:cs="Times New Roman"/>
          <w:color w:val="000000" w:themeColor="text1"/>
        </w:rPr>
        <w:t>用地方式以露天开采为主，直接挖损土地。</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矿权人</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，采矿许可证号：</w:t>
      </w:r>
      <w:r>
        <w:rPr>
          <w:rFonts w:hint="eastAsia" w:ascii="Times New Roman" w:hAnsi="Times New Roman" w:cs="Times New Roman"/>
          <w:color w:val="000000" w:themeColor="text1"/>
        </w:rPr>
        <w:t>C2303002011117120119849</w:t>
      </w:r>
      <w:r>
        <w:rPr>
          <w:rFonts w:ascii="Times New Roman" w:hAnsi="Times New Roman" w:cs="Times New Roman"/>
          <w:color w:val="000000" w:themeColor="text1"/>
        </w:rPr>
        <w:t>，有效期限：2021年12月29日-2031年12月29日。</w:t>
      </w:r>
    </w:p>
    <w:p w14:paraId="2AF28936">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根据相关要求，矿区需在开采前完成建设用地审批手续。目前，用地审批手续已办理完成。矿区涉及土地类别包括旱地</w:t>
      </w:r>
      <w:r>
        <w:rPr>
          <w:rFonts w:hint="eastAsia" w:ascii="Times New Roman" w:hAnsi="Times New Roman" w:cs="Times New Roman"/>
          <w:color w:val="000000" w:themeColor="text1"/>
        </w:rPr>
        <w:t>、</w:t>
      </w:r>
      <w:r>
        <w:rPr>
          <w:rFonts w:ascii="Times New Roman" w:hAnsi="Times New Roman" w:cs="Times New Roman"/>
          <w:color w:val="000000" w:themeColor="text1"/>
        </w:rPr>
        <w:t>其他草地</w:t>
      </w:r>
      <w:r>
        <w:rPr>
          <w:rFonts w:hint="eastAsia" w:ascii="Times New Roman" w:hAnsi="Times New Roman" w:cs="Times New Roman"/>
          <w:color w:val="000000" w:themeColor="text1"/>
        </w:rPr>
        <w:t>、</w:t>
      </w:r>
      <w:r>
        <w:rPr>
          <w:rFonts w:ascii="Times New Roman" w:hAnsi="Times New Roman" w:cs="Times New Roman"/>
          <w:color w:val="000000" w:themeColor="text1"/>
        </w:rPr>
        <w:t>采矿用地。</w:t>
      </w:r>
    </w:p>
    <w:p w14:paraId="51F79656">
      <w:pPr>
        <w:pStyle w:val="174"/>
        <w:topLinePunct/>
        <w:rPr>
          <w:rFonts w:ascii="Times New Roman" w:hAnsi="Times New Roman" w:cs="Times New Roman"/>
          <w:color w:val="000000" w:themeColor="text1"/>
        </w:rPr>
      </w:pPr>
      <w:bookmarkStart w:id="16" w:name="_Toc1182"/>
      <w:r>
        <w:rPr>
          <w:rFonts w:ascii="Times New Roman" w:hAnsi="Times New Roman" w:cs="Times New Roman"/>
          <w:color w:val="000000" w:themeColor="text1"/>
        </w:rPr>
        <w:t>五、矿区生态状况</w:t>
      </w:r>
      <w:bookmarkEnd w:id="16"/>
    </w:p>
    <w:p w14:paraId="36209085">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1、区域生态本底</w:t>
      </w:r>
    </w:p>
    <w:p w14:paraId="0A8F7A04">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所处的鸡东县</w:t>
      </w:r>
      <w:r>
        <w:rPr>
          <w:rFonts w:hint="eastAsia" w:ascii="Times New Roman" w:hAnsi="Times New Roman" w:cs="Times New Roman"/>
          <w:color w:val="000000" w:themeColor="text1"/>
        </w:rPr>
        <w:t>永安镇</w:t>
      </w:r>
      <w:r>
        <w:rPr>
          <w:rFonts w:ascii="Times New Roman" w:hAnsi="Times New Roman" w:cs="Times New Roman"/>
          <w:color w:val="000000" w:themeColor="text1"/>
        </w:rPr>
        <w:t>，位于完达山山脉向三江平原过渡的低山丘陵地带。该区域是长白山-小兴安岭森林生态屏障的组成部分，在黑龙江省乃至东北地区的生态安全格局中扮演着重要角色。其宏观的生态功能定位核心是水源涵养与水土保持。区域内的森林、灌丛和草地生态系统通过林冠截留、枯落物层蓄水和土壤渗透，有效调节着地表径流，补充地下水，同时强大的根系网络固持土壤，对于减轻松花江流域支流的泥沙淤积、维护流域生态安全具有不可替代的作用。</w:t>
      </w:r>
    </w:p>
    <w:p w14:paraId="6724BCE4">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2、生态系统</w:t>
      </w:r>
    </w:p>
    <w:p w14:paraId="5A6A5402">
      <w:pPr>
        <w:pStyle w:val="178"/>
        <w:topLinePunct/>
        <w:rPr>
          <w:rFonts w:ascii="Times New Roman" w:hAnsi="Times New Roman" w:cs="Times New Roman"/>
          <w:color w:val="000000" w:themeColor="text1"/>
        </w:rPr>
      </w:pPr>
      <w:r>
        <w:rPr>
          <w:rFonts w:ascii="Times New Roman" w:hAnsi="Times New Roman" w:cs="Times New Roman"/>
          <w:color w:val="000000" w:themeColor="text1"/>
        </w:rPr>
        <w:t>森林生态系统：这是区域的本底生态系统和优势生态系统。主要以天然次生林形式存在，空间上广泛分布于矿区周边的山体上部和未被扰动的沟谷中。其建群种包括耐寒耐贫瘠的蒙古栎、白桦和山杨。林下发育有榛子、胡枝子等灌木层，以及苔草、玉竹等草本层。此生态系统生物量最高，结构最复杂，生态服务功能最强，是矿区生态修复的终极参照系。</w:t>
      </w:r>
    </w:p>
    <w:p w14:paraId="7D5DA91C">
      <w:pPr>
        <w:pStyle w:val="178"/>
        <w:topLinePunct/>
        <w:rPr>
          <w:rFonts w:ascii="Times New Roman" w:hAnsi="Times New Roman" w:cs="Times New Roman"/>
          <w:color w:val="000000" w:themeColor="text1"/>
        </w:rPr>
      </w:pPr>
      <w:r>
        <w:rPr>
          <w:rFonts w:ascii="Times New Roman" w:hAnsi="Times New Roman" w:cs="Times New Roman"/>
          <w:color w:val="000000" w:themeColor="text1"/>
        </w:rPr>
        <w:t>灌丛与草地生态系统：主要分布于森林边缘、丘陵顶部及土层较薄的区域，是森林与裸地之间的过渡类型。常见灌丛为绣线菊灌丛、蒿类灌丛，草地则以羊草、野古草等禾本科植物为优势种。该类生态系统在水土保持方面作用显著，且是许多野生动物的重要觅食和栖息场所。</w:t>
      </w:r>
    </w:p>
    <w:p w14:paraId="32D0D0EC">
      <w:pPr>
        <w:pStyle w:val="178"/>
        <w:topLinePunct/>
        <w:rPr>
          <w:rFonts w:ascii="Times New Roman" w:hAnsi="Times New Roman" w:cs="Times New Roman"/>
          <w:color w:val="000000" w:themeColor="text1"/>
        </w:rPr>
      </w:pPr>
      <w:r>
        <w:rPr>
          <w:rFonts w:ascii="Times New Roman" w:hAnsi="Times New Roman" w:cs="Times New Roman"/>
          <w:color w:val="000000" w:themeColor="text1"/>
        </w:rPr>
        <w:t>农业生态系统：分布于矿区外围地势较为平缓的区域，主要为旱田，种植玉米、大豆等作物。此系统受高强度人为管理，生物多样性较低，生态功能弱于自然生态系统。</w:t>
      </w:r>
    </w:p>
    <w:p w14:paraId="19454359">
      <w:pPr>
        <w:pStyle w:val="178"/>
        <w:topLinePunct/>
        <w:rPr>
          <w:rFonts w:ascii="Times New Roman" w:hAnsi="Times New Roman" w:cs="Times New Roman"/>
          <w:color w:val="000000" w:themeColor="text1"/>
        </w:rPr>
      </w:pPr>
      <w:r>
        <w:rPr>
          <w:rFonts w:ascii="Times New Roman" w:hAnsi="Times New Roman" w:cs="Times New Roman"/>
          <w:color w:val="000000" w:themeColor="text1"/>
        </w:rPr>
        <w:t>工矿生态系统（受损）：此为采矿活动形成的人工受损生态系统，目前占据矿区约74%的面积（约6.73h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）。该系统以裸露岩石、碎石平台、高陡边坡和临时建筑为主要景观特征，植被覆盖率极低，土壤缺失，原有的生态结构和功能已基本丧失，是生态修复的核心目标区域。</w:t>
      </w:r>
    </w:p>
    <w:p w14:paraId="7025C3F0">
      <w:pPr>
        <w:pStyle w:val="178"/>
        <w:topLinePunct/>
        <w:rPr>
          <w:rFonts w:ascii="Times New Roman" w:hAnsi="Times New Roman" w:cs="Times New Roman"/>
          <w:color w:val="000000" w:themeColor="text1"/>
        </w:rPr>
      </w:pPr>
      <w:r>
        <w:rPr>
          <w:rFonts w:ascii="Times New Roman" w:hAnsi="Times New Roman" w:cs="Times New Roman"/>
          <w:color w:val="000000" w:themeColor="text1"/>
        </w:rPr>
        <w:t>3. 生物多样性状况</w:t>
      </w:r>
    </w:p>
    <w:p w14:paraId="71C2C77C">
      <w:pPr>
        <w:pStyle w:val="178"/>
        <w:topLinePunct/>
        <w:rPr>
          <w:rFonts w:ascii="Times New Roman" w:hAnsi="Times New Roman" w:cs="Times New Roman"/>
          <w:color w:val="000000" w:themeColor="text1"/>
        </w:rPr>
      </w:pPr>
      <w:r>
        <w:rPr>
          <w:rFonts w:ascii="Times New Roman" w:hAnsi="Times New Roman" w:cs="Times New Roman"/>
          <w:color w:val="000000" w:themeColor="text1"/>
        </w:rPr>
        <w:t>生态系统多样性：如前所述，矿区周边区域原本具备森林、灌丛、草地及农田等多种生态系统类型，构成了较为丰富的景观格局。</w:t>
      </w:r>
    </w:p>
    <w:p w14:paraId="61E254E8">
      <w:pPr>
        <w:pStyle w:val="178"/>
        <w:topLinePunct/>
        <w:rPr>
          <w:rFonts w:ascii="Times New Roman" w:hAnsi="Times New Roman" w:cs="Times New Roman"/>
          <w:color w:val="000000" w:themeColor="text1"/>
        </w:rPr>
      </w:pPr>
      <w:r>
        <w:rPr>
          <w:rFonts w:ascii="Times New Roman" w:hAnsi="Times New Roman" w:cs="Times New Roman"/>
          <w:color w:val="000000" w:themeColor="text1"/>
        </w:rPr>
        <w:t>植物多样性：本地的维管植物种类较为丰富，以适应寒温带气候的乡土物种为主。乔木包括蒙古栎、白桦和山杨等，林下发育有榛子、胡枝子等灌木层，草本植物如狗尾草、蒿类等。</w:t>
      </w:r>
    </w:p>
    <w:p w14:paraId="74A70CD1">
      <w:pPr>
        <w:pStyle w:val="178"/>
        <w:topLinePunct/>
        <w:rPr>
          <w:rFonts w:ascii="Times New Roman" w:hAnsi="Times New Roman" w:cs="Times New Roman"/>
          <w:color w:val="000000" w:themeColor="text1"/>
        </w:rPr>
      </w:pPr>
      <w:r>
        <w:rPr>
          <w:rFonts w:ascii="Times New Roman" w:hAnsi="Times New Roman" w:cs="Times New Roman"/>
          <w:color w:val="000000" w:themeColor="text1"/>
        </w:rPr>
        <w:t>动物多样性：区域历史上是多种野生动物的活动区。周边森林和灌丛中可能栖息有中小型哺乳动物如野兔，以及多种鸟类（如山斑鸠、喜鹊、啄木鸟等）和爬行类、两栖类动物。</w:t>
      </w:r>
    </w:p>
    <w:p w14:paraId="20C0DFBE">
      <w:pPr>
        <w:pStyle w:val="174"/>
        <w:topLinePunct/>
        <w:rPr>
          <w:rFonts w:ascii="Times New Roman" w:hAnsi="Times New Roman" w:cs="Times New Roman"/>
          <w:color w:val="000000" w:themeColor="text1"/>
        </w:rPr>
      </w:pPr>
      <w:bookmarkStart w:id="17" w:name="_Toc17722"/>
      <w:r>
        <w:rPr>
          <w:rFonts w:ascii="Times New Roman" w:hAnsi="Times New Roman" w:cs="Times New Roman"/>
          <w:color w:val="000000" w:themeColor="text1"/>
        </w:rPr>
        <w:t>六、矿区及周边人类重大工程活动</w:t>
      </w:r>
      <w:bookmarkEnd w:id="17"/>
    </w:p>
    <w:p w14:paraId="37D82457">
      <w:pPr>
        <w:pStyle w:val="178"/>
        <w:topLinePunct/>
        <w:rPr>
          <w:rFonts w:ascii="Times New Roman" w:hAnsi="Times New Roman" w:cs="Times New Roman"/>
          <w:color w:val="000000" w:themeColor="text1"/>
        </w:rPr>
      </w:pPr>
      <w:r>
        <w:rPr>
          <w:rFonts w:ascii="Times New Roman" w:hAnsi="Times New Roman" w:cs="Times New Roman"/>
          <w:color w:val="000000" w:themeColor="text1"/>
        </w:rPr>
        <w:t>基础设施建设：矿区南侧1.5公里处的省道方虎公路（S206）是区域重要交通干线，车流量较大。</w:t>
      </w:r>
    </w:p>
    <w:p w14:paraId="279552EE">
      <w:pPr>
        <w:pStyle w:val="178"/>
        <w:topLinePunct/>
        <w:rPr>
          <w:rFonts w:ascii="Times New Roman" w:hAnsi="Times New Roman" w:cs="Times New Roman"/>
          <w:color w:val="000000" w:themeColor="text1"/>
        </w:rPr>
      </w:pPr>
      <w:r>
        <w:rPr>
          <w:rFonts w:ascii="Times New Roman" w:hAnsi="Times New Roman" w:cs="Times New Roman"/>
          <w:color w:val="000000" w:themeColor="text1"/>
        </w:rPr>
        <w:t>城镇建设：矿区隶属于鸡东县</w:t>
      </w:r>
      <w:r>
        <w:rPr>
          <w:rFonts w:hint="eastAsia" w:ascii="Times New Roman" w:hAnsi="Times New Roman" w:cs="Times New Roman"/>
          <w:color w:val="000000" w:themeColor="text1"/>
        </w:rPr>
        <w:t>永安镇</w:t>
      </w:r>
      <w:r>
        <w:rPr>
          <w:rFonts w:ascii="Times New Roman" w:hAnsi="Times New Roman" w:cs="Times New Roman"/>
          <w:color w:val="000000" w:themeColor="text1"/>
        </w:rPr>
        <w:t>，周边分布有农田和居民点，矿山活动需考虑对镇区的噪声、粉尘等影响。</w:t>
      </w:r>
    </w:p>
    <w:p w14:paraId="5F3A44F0">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矿产资源开发：矿区周边不存在其他采矿权。</w:t>
      </w:r>
    </w:p>
    <w:p w14:paraId="3F250A0B">
      <w:pPr>
        <w:pStyle w:val="178"/>
        <w:topLinePunct/>
        <w:rPr>
          <w:rFonts w:ascii="Times New Roman" w:hAnsi="Times New Roman" w:cs="Times New Roman"/>
          <w:color w:val="000000" w:themeColor="text1"/>
        </w:rPr>
      </w:pPr>
      <w:r>
        <w:rPr>
          <w:rFonts w:ascii="Times New Roman" w:hAnsi="Times New Roman" w:cs="Times New Roman"/>
          <w:color w:val="000000" w:themeColor="text1"/>
        </w:rPr>
        <w:t>自然保护地及重要生态功能区：经实地调查与资料核实，鸡东县永平采石场矿区及周边区域未涉及国家或省级自然保护区、风景名胜区、森林公园、地质公园、湿地公园等法定自然保护地，也不在生态保护红线划定范围内。</w:t>
      </w:r>
    </w:p>
    <w:p w14:paraId="2DD5AFB5">
      <w:pPr>
        <w:pStyle w:val="174"/>
        <w:topLinePunct/>
        <w:rPr>
          <w:rFonts w:ascii="Times New Roman" w:hAnsi="Times New Roman" w:cs="Times New Roman"/>
          <w:color w:val="000000" w:themeColor="text1"/>
        </w:rPr>
      </w:pPr>
      <w:bookmarkStart w:id="18" w:name="_Toc31726"/>
      <w:r>
        <w:rPr>
          <w:rFonts w:ascii="Times New Roman" w:hAnsi="Times New Roman" w:cs="Times New Roman"/>
          <w:color w:val="000000" w:themeColor="text1"/>
        </w:rPr>
        <w:t>七、矿区生态修复工作情况</w:t>
      </w:r>
      <w:bookmarkEnd w:id="18"/>
    </w:p>
    <w:p w14:paraId="6867F08A">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建矿至今未一致处于开采状态，因此，矿区范围内尚未系统性地开展大规模的生态修复工程。</w:t>
      </w:r>
    </w:p>
    <w:p w14:paraId="1AC9ABB6">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本次方案编制是矿山生命周期前端的关键规划，将指导未来"边开采、边修复"及闭矿后的全面生态修复工作。</w:t>
      </w:r>
    </w:p>
    <w:p w14:paraId="26DA42B4">
      <w:pPr>
        <w:pStyle w:val="174"/>
        <w:topLinePunct/>
        <w:rPr>
          <w:rFonts w:ascii="Times New Roman" w:hAnsi="Times New Roman" w:cs="Times New Roman"/>
          <w:color w:val="000000" w:themeColor="text1"/>
        </w:rPr>
      </w:pPr>
      <w:bookmarkStart w:id="19" w:name="_Toc299"/>
      <w:r>
        <w:rPr>
          <w:rFonts w:ascii="Times New Roman" w:hAnsi="Times New Roman" w:cs="Times New Roman"/>
          <w:color w:val="000000" w:themeColor="text1"/>
        </w:rPr>
        <w:t>八、矿区基本情况调查指标</w:t>
      </w:r>
      <w:bookmarkEnd w:id="19"/>
    </w:p>
    <w:p w14:paraId="15E68C06">
      <w:pPr>
        <w:pStyle w:val="182"/>
        <w:topLinePunct/>
        <w:ind w:firstLine="0" w:firstLineChars="0"/>
        <w:rPr>
          <w:rFonts w:ascii="Times New Roman" w:hAnsi="Times New Roman"/>
          <w:color w:val="000000" w:themeColor="text1"/>
        </w:rPr>
      </w:pPr>
      <w:r>
        <w:rPr>
          <w:rFonts w:ascii="Times New Roman" w:hAnsi="Times New Roman"/>
          <w:color w:val="000000" w:themeColor="text1"/>
        </w:rPr>
        <w:t>表2-3</w:t>
      </w:r>
      <w:r>
        <w:rPr>
          <w:rFonts w:ascii="Times New Roman" w:hAnsi="Times New Roman"/>
          <w:color w:val="000000" w:themeColor="text1"/>
        </w:rPr>
        <w:tab/>
      </w:r>
      <w:r>
        <w:rPr>
          <w:rFonts w:ascii="Times New Roman" w:hAnsi="Times New Roman"/>
          <w:color w:val="000000" w:themeColor="text1"/>
        </w:rPr>
        <w:t>矿山采矿前复垦修复监测内容与监测指标表</w:t>
      </w:r>
    </w:p>
    <w:tbl>
      <w:tblPr>
        <w:tblStyle w:val="42"/>
        <w:tblW w:w="5022"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901"/>
        <w:gridCol w:w="2095"/>
        <w:gridCol w:w="2957"/>
        <w:gridCol w:w="2187"/>
      </w:tblGrid>
      <w:tr w14:paraId="620BC19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blHeader/>
        </w:trPr>
        <w:tc>
          <w:tcPr>
            <w:tcW w:w="1794" w:type="dxa"/>
            <w:tcBorders>
              <w:tl2br w:val="nil"/>
              <w:tr2bl w:val="nil"/>
            </w:tcBorders>
            <w:vAlign w:val="center"/>
          </w:tcPr>
          <w:p w14:paraId="5F9F6AD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监测对象</w:t>
            </w:r>
          </w:p>
        </w:tc>
        <w:tc>
          <w:tcPr>
            <w:tcW w:w="1978" w:type="dxa"/>
            <w:tcBorders>
              <w:tl2br w:val="nil"/>
              <w:tr2bl w:val="nil"/>
            </w:tcBorders>
            <w:vAlign w:val="center"/>
          </w:tcPr>
          <w:p w14:paraId="19E6B37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监测内容</w:t>
            </w:r>
          </w:p>
        </w:tc>
        <w:tc>
          <w:tcPr>
            <w:tcW w:w="2792" w:type="dxa"/>
            <w:tcBorders>
              <w:tl2br w:val="nil"/>
              <w:tr2bl w:val="nil"/>
            </w:tcBorders>
            <w:vAlign w:val="center"/>
          </w:tcPr>
          <w:p w14:paraId="17D4FBF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监测指标</w:t>
            </w:r>
          </w:p>
        </w:tc>
        <w:tc>
          <w:tcPr>
            <w:tcW w:w="2065" w:type="dxa"/>
            <w:tcBorders>
              <w:tl2br w:val="nil"/>
              <w:tr2bl w:val="nil"/>
            </w:tcBorders>
            <w:vAlign w:val="center"/>
          </w:tcPr>
          <w:p w14:paraId="50326DE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监测方法</w:t>
            </w:r>
          </w:p>
        </w:tc>
      </w:tr>
      <w:tr w14:paraId="5572A77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restart"/>
            <w:tcBorders>
              <w:tl2br w:val="nil"/>
              <w:tr2bl w:val="nil"/>
            </w:tcBorders>
            <w:vAlign w:val="center"/>
          </w:tcPr>
          <w:p w14:paraId="50D86A4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矿山地质环境</w:t>
            </w:r>
          </w:p>
        </w:tc>
        <w:tc>
          <w:tcPr>
            <w:tcW w:w="1978" w:type="dxa"/>
            <w:vMerge w:val="restart"/>
            <w:tcBorders>
              <w:tl2br w:val="nil"/>
              <w:tr2bl w:val="nil"/>
            </w:tcBorders>
            <w:vAlign w:val="center"/>
          </w:tcPr>
          <w:p w14:paraId="564EC40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地下水环境</w:t>
            </w:r>
          </w:p>
        </w:tc>
        <w:tc>
          <w:tcPr>
            <w:tcW w:w="2792" w:type="dxa"/>
            <w:tcBorders>
              <w:tl2br w:val="nil"/>
              <w:tr2bl w:val="nil"/>
            </w:tcBorders>
            <w:vAlign w:val="center"/>
          </w:tcPr>
          <w:p w14:paraId="7AE631A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含水层类型</w:t>
            </w:r>
          </w:p>
        </w:tc>
        <w:tc>
          <w:tcPr>
            <w:tcW w:w="2065" w:type="dxa"/>
            <w:vMerge w:val="restart"/>
            <w:tcBorders>
              <w:tl2br w:val="nil"/>
              <w:tr2bl w:val="nil"/>
            </w:tcBorders>
            <w:vAlign w:val="center"/>
          </w:tcPr>
          <w:p w14:paraId="4D06C53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DZ/T0287</w:t>
            </w:r>
          </w:p>
        </w:tc>
      </w:tr>
      <w:tr w14:paraId="6BB4E9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6DAFBAD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2FF3A3B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12019DA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地下水位</w:t>
            </w:r>
          </w:p>
        </w:tc>
        <w:tc>
          <w:tcPr>
            <w:tcW w:w="2065" w:type="dxa"/>
            <w:vMerge w:val="continue"/>
            <w:tcBorders>
              <w:tl2br w:val="nil"/>
              <w:tr2bl w:val="nil"/>
            </w:tcBorders>
            <w:vAlign w:val="center"/>
          </w:tcPr>
          <w:p w14:paraId="58325461">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5DF852A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1E8279E2">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4C363F0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05A167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地下水温</w:t>
            </w:r>
          </w:p>
        </w:tc>
        <w:tc>
          <w:tcPr>
            <w:tcW w:w="2065" w:type="dxa"/>
            <w:vMerge w:val="continue"/>
            <w:tcBorders>
              <w:tl2br w:val="nil"/>
              <w:tr2bl w:val="nil"/>
            </w:tcBorders>
            <w:vAlign w:val="center"/>
          </w:tcPr>
          <w:p w14:paraId="4DB109DC">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702B8E4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1457164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081D149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42A4389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地下水水量</w:t>
            </w:r>
          </w:p>
        </w:tc>
        <w:tc>
          <w:tcPr>
            <w:tcW w:w="2065" w:type="dxa"/>
            <w:vMerge w:val="continue"/>
            <w:tcBorders>
              <w:tl2br w:val="nil"/>
              <w:tr2bl w:val="nil"/>
            </w:tcBorders>
            <w:vAlign w:val="center"/>
          </w:tcPr>
          <w:p w14:paraId="267680F1">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696CD2F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129A7CB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52D14B11">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21B8709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井泉个数与排泄量</w:t>
            </w:r>
          </w:p>
        </w:tc>
        <w:tc>
          <w:tcPr>
            <w:tcW w:w="2065" w:type="dxa"/>
            <w:vMerge w:val="continue"/>
            <w:tcBorders>
              <w:tl2br w:val="nil"/>
              <w:tr2bl w:val="nil"/>
            </w:tcBorders>
            <w:vAlign w:val="center"/>
          </w:tcPr>
          <w:p w14:paraId="1DE9087C">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6ECABFE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restart"/>
            <w:tcBorders>
              <w:tl2br w:val="nil"/>
              <w:tr2bl w:val="nil"/>
            </w:tcBorders>
            <w:vAlign w:val="center"/>
          </w:tcPr>
          <w:p w14:paraId="4BD050A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土地资源</w:t>
            </w:r>
          </w:p>
        </w:tc>
        <w:tc>
          <w:tcPr>
            <w:tcW w:w="1978" w:type="dxa"/>
            <w:vMerge w:val="restart"/>
            <w:tcBorders>
              <w:tl2br w:val="nil"/>
              <w:tr2bl w:val="nil"/>
            </w:tcBorders>
            <w:vAlign w:val="center"/>
          </w:tcPr>
          <w:p w14:paraId="7970D6A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土地利用现状</w:t>
            </w:r>
          </w:p>
        </w:tc>
        <w:tc>
          <w:tcPr>
            <w:tcW w:w="2792" w:type="dxa"/>
            <w:tcBorders>
              <w:tl2br w:val="nil"/>
              <w:tr2bl w:val="nil"/>
            </w:tcBorders>
            <w:vAlign w:val="center"/>
          </w:tcPr>
          <w:p w14:paraId="04F6F2C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土地利用类型及面积</w:t>
            </w:r>
          </w:p>
        </w:tc>
        <w:tc>
          <w:tcPr>
            <w:tcW w:w="2065" w:type="dxa"/>
            <w:vMerge w:val="restart"/>
            <w:tcBorders>
              <w:tl2br w:val="nil"/>
              <w:tr2bl w:val="nil"/>
            </w:tcBorders>
            <w:vAlign w:val="center"/>
          </w:tcPr>
          <w:p w14:paraId="20224F0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TD/T1055TD/T1010</w:t>
            </w:r>
          </w:p>
        </w:tc>
      </w:tr>
      <w:tr w14:paraId="4FC0900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6C0C7183">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32F74E8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4748CD7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土地利用面积</w:t>
            </w:r>
          </w:p>
        </w:tc>
        <w:tc>
          <w:tcPr>
            <w:tcW w:w="2065" w:type="dxa"/>
            <w:vMerge w:val="continue"/>
            <w:tcBorders>
              <w:tl2br w:val="nil"/>
              <w:tr2bl w:val="nil"/>
            </w:tcBorders>
            <w:vAlign w:val="center"/>
          </w:tcPr>
          <w:p w14:paraId="42E4F953">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08D8B0E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09B48BC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5D121B28">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00FAF63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永久基本农田及面积</w:t>
            </w:r>
          </w:p>
        </w:tc>
        <w:tc>
          <w:tcPr>
            <w:tcW w:w="2065" w:type="dxa"/>
            <w:vMerge w:val="continue"/>
            <w:tcBorders>
              <w:tl2br w:val="nil"/>
              <w:tr2bl w:val="nil"/>
            </w:tcBorders>
            <w:vAlign w:val="center"/>
          </w:tcPr>
          <w:p w14:paraId="234DEA0B">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7330D84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62C6A55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restart"/>
            <w:tcBorders>
              <w:tl2br w:val="nil"/>
              <w:tr2bl w:val="nil"/>
            </w:tcBorders>
            <w:vAlign w:val="center"/>
          </w:tcPr>
          <w:p w14:paraId="1EEB7E7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耕地及基本农田</w:t>
            </w:r>
          </w:p>
        </w:tc>
        <w:tc>
          <w:tcPr>
            <w:tcW w:w="2792" w:type="dxa"/>
            <w:tcBorders>
              <w:tl2br w:val="nil"/>
              <w:tr2bl w:val="nil"/>
            </w:tcBorders>
            <w:vAlign w:val="center"/>
          </w:tcPr>
          <w:p w14:paraId="3005A91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土壤质量</w:t>
            </w:r>
          </w:p>
        </w:tc>
        <w:tc>
          <w:tcPr>
            <w:tcW w:w="2065" w:type="dxa"/>
            <w:vMerge w:val="restart"/>
            <w:tcBorders>
              <w:tl2br w:val="nil"/>
              <w:tr2bl w:val="nil"/>
            </w:tcBorders>
            <w:vAlign w:val="center"/>
          </w:tcPr>
          <w:p w14:paraId="435F66C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NY/T1119</w:t>
            </w:r>
          </w:p>
        </w:tc>
      </w:tr>
      <w:tr w14:paraId="6E2E07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0B1EC635">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47EB3DD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76A8C8F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配套设施</w:t>
            </w:r>
          </w:p>
        </w:tc>
        <w:tc>
          <w:tcPr>
            <w:tcW w:w="2065" w:type="dxa"/>
            <w:vMerge w:val="continue"/>
            <w:tcBorders>
              <w:tl2br w:val="nil"/>
              <w:tr2bl w:val="nil"/>
            </w:tcBorders>
            <w:vAlign w:val="center"/>
          </w:tcPr>
          <w:p w14:paraId="7BECA1EC">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0434BBC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2A5776BB">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45F5C2B8">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5DE44B2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生产力水平</w:t>
            </w:r>
          </w:p>
        </w:tc>
        <w:tc>
          <w:tcPr>
            <w:tcW w:w="2065" w:type="dxa"/>
            <w:vMerge w:val="continue"/>
            <w:tcBorders>
              <w:tl2br w:val="nil"/>
              <w:tr2bl w:val="nil"/>
            </w:tcBorders>
            <w:vAlign w:val="center"/>
          </w:tcPr>
          <w:p w14:paraId="4A2601B1">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08833F1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restart"/>
            <w:tcBorders>
              <w:tl2br w:val="nil"/>
              <w:tr2bl w:val="nil"/>
            </w:tcBorders>
            <w:vAlign w:val="center"/>
          </w:tcPr>
          <w:p w14:paraId="5043C38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生态系统</w:t>
            </w:r>
          </w:p>
        </w:tc>
        <w:tc>
          <w:tcPr>
            <w:tcW w:w="1978" w:type="dxa"/>
            <w:vMerge w:val="restart"/>
            <w:tcBorders>
              <w:tl2br w:val="nil"/>
              <w:tr2bl w:val="nil"/>
            </w:tcBorders>
            <w:vAlign w:val="center"/>
          </w:tcPr>
          <w:p w14:paraId="1D58B56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地表水环境</w:t>
            </w:r>
          </w:p>
        </w:tc>
        <w:tc>
          <w:tcPr>
            <w:tcW w:w="2792" w:type="dxa"/>
            <w:tcBorders>
              <w:tl2br w:val="nil"/>
              <w:tr2bl w:val="nil"/>
            </w:tcBorders>
            <w:vAlign w:val="center"/>
          </w:tcPr>
          <w:p w14:paraId="3B762F5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地表水面积</w:t>
            </w:r>
          </w:p>
        </w:tc>
        <w:tc>
          <w:tcPr>
            <w:tcW w:w="2065" w:type="dxa"/>
            <w:vMerge w:val="restart"/>
            <w:tcBorders>
              <w:tl2br w:val="nil"/>
              <w:tr2bl w:val="nil"/>
            </w:tcBorders>
            <w:vAlign w:val="center"/>
          </w:tcPr>
          <w:p w14:paraId="50F2529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HJ91.2</w:t>
            </w:r>
          </w:p>
        </w:tc>
      </w:tr>
      <w:tr w14:paraId="58BA45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4233484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1570716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22F0BFC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地表水排泄</w:t>
            </w:r>
          </w:p>
        </w:tc>
        <w:tc>
          <w:tcPr>
            <w:tcW w:w="2065" w:type="dxa"/>
            <w:vMerge w:val="continue"/>
            <w:tcBorders>
              <w:tl2br w:val="nil"/>
              <w:tr2bl w:val="nil"/>
            </w:tcBorders>
            <w:vAlign w:val="center"/>
          </w:tcPr>
          <w:p w14:paraId="12C901F7">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6D3EE29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52D3127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restart"/>
            <w:tcBorders>
              <w:tl2br w:val="nil"/>
              <w:tr2bl w:val="nil"/>
            </w:tcBorders>
            <w:vAlign w:val="center"/>
          </w:tcPr>
          <w:p w14:paraId="0A05234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生态系统格局</w:t>
            </w:r>
          </w:p>
        </w:tc>
        <w:tc>
          <w:tcPr>
            <w:tcW w:w="2792" w:type="dxa"/>
            <w:tcBorders>
              <w:tl2br w:val="nil"/>
              <w:tr2bl w:val="nil"/>
            </w:tcBorders>
            <w:vAlign w:val="center"/>
          </w:tcPr>
          <w:p w14:paraId="40B805F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生态系统类型比例</w:t>
            </w:r>
          </w:p>
        </w:tc>
        <w:tc>
          <w:tcPr>
            <w:tcW w:w="2065" w:type="dxa"/>
            <w:vMerge w:val="restart"/>
            <w:tcBorders>
              <w:tl2br w:val="nil"/>
              <w:tr2bl w:val="nil"/>
            </w:tcBorders>
            <w:vAlign w:val="center"/>
          </w:tcPr>
          <w:p w14:paraId="3916202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GB/T42340</w:t>
            </w:r>
          </w:p>
        </w:tc>
      </w:tr>
      <w:tr w14:paraId="0CBE8CB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00F15138">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79DD4B55">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24240E7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平均斑块面积</w:t>
            </w:r>
          </w:p>
        </w:tc>
        <w:tc>
          <w:tcPr>
            <w:tcW w:w="2065" w:type="dxa"/>
            <w:vMerge w:val="continue"/>
            <w:tcBorders>
              <w:tl2br w:val="nil"/>
              <w:tr2bl w:val="nil"/>
            </w:tcBorders>
            <w:vAlign w:val="center"/>
          </w:tcPr>
          <w:p w14:paraId="2D1F8F38">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128CCF8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3367E1F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2F372D0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172DCC4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边界密度</w:t>
            </w:r>
          </w:p>
        </w:tc>
        <w:tc>
          <w:tcPr>
            <w:tcW w:w="2065" w:type="dxa"/>
            <w:vMerge w:val="continue"/>
            <w:tcBorders>
              <w:tl2br w:val="nil"/>
              <w:tr2bl w:val="nil"/>
            </w:tcBorders>
            <w:vAlign w:val="center"/>
          </w:tcPr>
          <w:p w14:paraId="30515159">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5B00C74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5F55081A">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18E33785">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6ADD5BD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聚集度指数</w:t>
            </w:r>
          </w:p>
        </w:tc>
        <w:tc>
          <w:tcPr>
            <w:tcW w:w="2065" w:type="dxa"/>
            <w:vMerge w:val="continue"/>
            <w:tcBorders>
              <w:tl2br w:val="nil"/>
              <w:tr2bl w:val="nil"/>
            </w:tcBorders>
            <w:vAlign w:val="center"/>
          </w:tcPr>
          <w:p w14:paraId="0AC13FE4">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3442B0D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2EA2B35A">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restart"/>
            <w:tcBorders>
              <w:tl2br w:val="nil"/>
              <w:tr2bl w:val="nil"/>
            </w:tcBorders>
            <w:vAlign w:val="center"/>
          </w:tcPr>
          <w:p w14:paraId="69C4D03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生态状况调查</w:t>
            </w:r>
          </w:p>
        </w:tc>
        <w:tc>
          <w:tcPr>
            <w:tcW w:w="2792" w:type="dxa"/>
            <w:tcBorders>
              <w:tl2br w:val="nil"/>
              <w:tr2bl w:val="nil"/>
            </w:tcBorders>
            <w:vAlign w:val="center"/>
          </w:tcPr>
          <w:p w14:paraId="5750B93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森林生态系统</w:t>
            </w:r>
          </w:p>
        </w:tc>
        <w:tc>
          <w:tcPr>
            <w:tcW w:w="2065" w:type="dxa"/>
            <w:tcBorders>
              <w:tl2br w:val="nil"/>
              <w:tr2bl w:val="nil"/>
            </w:tcBorders>
            <w:vAlign w:val="center"/>
          </w:tcPr>
          <w:p w14:paraId="0824FBC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GB/T30363HJ1167</w:t>
            </w:r>
          </w:p>
        </w:tc>
      </w:tr>
      <w:tr w14:paraId="6FF3265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0B1A15F3">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66F0151D">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370EE87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草地生态系统</w:t>
            </w:r>
          </w:p>
        </w:tc>
        <w:tc>
          <w:tcPr>
            <w:tcW w:w="2065" w:type="dxa"/>
            <w:tcBorders>
              <w:tl2br w:val="nil"/>
              <w:tr2bl w:val="nil"/>
            </w:tcBorders>
            <w:vAlign w:val="center"/>
          </w:tcPr>
          <w:p w14:paraId="7C0CF9E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NY/T2998HJ1168</w:t>
            </w:r>
          </w:p>
        </w:tc>
      </w:tr>
      <w:tr w14:paraId="65937D8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2FA0B00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4E778F0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4E2A848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湿地生态系统</w:t>
            </w:r>
          </w:p>
        </w:tc>
        <w:tc>
          <w:tcPr>
            <w:tcW w:w="2065" w:type="dxa"/>
            <w:tcBorders>
              <w:tl2br w:val="nil"/>
              <w:tr2bl w:val="nil"/>
            </w:tcBorders>
            <w:vAlign w:val="center"/>
          </w:tcPr>
          <w:p w14:paraId="5A32DE9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HJ1169</w:t>
            </w:r>
          </w:p>
        </w:tc>
      </w:tr>
      <w:tr w14:paraId="45C8A69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757DAD0D">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550CBFC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08319CF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荒漠生态系统</w:t>
            </w:r>
          </w:p>
        </w:tc>
        <w:tc>
          <w:tcPr>
            <w:tcW w:w="2065" w:type="dxa"/>
            <w:tcBorders>
              <w:tl2br w:val="nil"/>
              <w:tr2bl w:val="nil"/>
            </w:tcBorders>
            <w:vAlign w:val="center"/>
          </w:tcPr>
          <w:p w14:paraId="6DF8C16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HJ1170</w:t>
            </w:r>
          </w:p>
        </w:tc>
      </w:tr>
      <w:tr w14:paraId="67C8D71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5677265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restart"/>
            <w:tcBorders>
              <w:tl2br w:val="nil"/>
              <w:tr2bl w:val="nil"/>
            </w:tcBorders>
            <w:vAlign w:val="center"/>
          </w:tcPr>
          <w:p w14:paraId="4051975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生态系统服务</w:t>
            </w:r>
          </w:p>
        </w:tc>
        <w:tc>
          <w:tcPr>
            <w:tcW w:w="2792" w:type="dxa"/>
            <w:tcBorders>
              <w:tl2br w:val="nil"/>
              <w:tr2bl w:val="nil"/>
            </w:tcBorders>
            <w:vAlign w:val="center"/>
          </w:tcPr>
          <w:p w14:paraId="48B5EE0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水源涵养量</w:t>
            </w:r>
          </w:p>
        </w:tc>
        <w:tc>
          <w:tcPr>
            <w:tcW w:w="2065" w:type="dxa"/>
            <w:vMerge w:val="restart"/>
            <w:tcBorders>
              <w:tl2br w:val="nil"/>
              <w:tr2bl w:val="nil"/>
            </w:tcBorders>
            <w:vAlign w:val="center"/>
          </w:tcPr>
          <w:p w14:paraId="4051965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HJ1173LY/T2988</w:t>
            </w:r>
          </w:p>
        </w:tc>
      </w:tr>
      <w:tr w14:paraId="04AF3CA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7C3C6F6B">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6E153EC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2BE69AC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防风固沙量</w:t>
            </w:r>
          </w:p>
        </w:tc>
        <w:tc>
          <w:tcPr>
            <w:tcW w:w="2065" w:type="dxa"/>
            <w:vMerge w:val="continue"/>
            <w:tcBorders>
              <w:tl2br w:val="nil"/>
              <w:tr2bl w:val="nil"/>
            </w:tcBorders>
            <w:vAlign w:val="center"/>
          </w:tcPr>
          <w:p w14:paraId="23B9D7F7">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123CFA4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4A072371">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2B2869FB">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5EEEE46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土壤保持量</w:t>
            </w:r>
          </w:p>
        </w:tc>
        <w:tc>
          <w:tcPr>
            <w:tcW w:w="2065" w:type="dxa"/>
            <w:vMerge w:val="continue"/>
            <w:tcBorders>
              <w:tl2br w:val="nil"/>
              <w:tr2bl w:val="nil"/>
            </w:tcBorders>
            <w:vAlign w:val="center"/>
          </w:tcPr>
          <w:p w14:paraId="1A87DEA6">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119D8D8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2682754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2A23BDA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33C9976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生物多样性维护</w:t>
            </w:r>
          </w:p>
        </w:tc>
        <w:tc>
          <w:tcPr>
            <w:tcW w:w="2065" w:type="dxa"/>
            <w:vMerge w:val="continue"/>
            <w:tcBorders>
              <w:tl2br w:val="nil"/>
              <w:tr2bl w:val="nil"/>
            </w:tcBorders>
            <w:vAlign w:val="center"/>
          </w:tcPr>
          <w:p w14:paraId="17F3E600">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2E8A164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31EEFB0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continue"/>
            <w:tcBorders>
              <w:tl2br w:val="nil"/>
              <w:tr2bl w:val="nil"/>
            </w:tcBorders>
            <w:vAlign w:val="center"/>
          </w:tcPr>
          <w:p w14:paraId="0F8023A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395B4F5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碳储量</w:t>
            </w:r>
          </w:p>
        </w:tc>
        <w:tc>
          <w:tcPr>
            <w:tcW w:w="2065" w:type="dxa"/>
            <w:vMerge w:val="continue"/>
            <w:tcBorders>
              <w:tl2br w:val="nil"/>
              <w:tr2bl w:val="nil"/>
            </w:tcBorders>
            <w:vAlign w:val="center"/>
          </w:tcPr>
          <w:p w14:paraId="4DE756BC">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7B4FA48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6835F6E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78" w:type="dxa"/>
            <w:vMerge w:val="restart"/>
            <w:tcBorders>
              <w:tl2br w:val="nil"/>
              <w:tr2bl w:val="nil"/>
            </w:tcBorders>
            <w:vAlign w:val="center"/>
          </w:tcPr>
          <w:p w14:paraId="7F4282D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生态系统质量</w:t>
            </w:r>
          </w:p>
        </w:tc>
        <w:tc>
          <w:tcPr>
            <w:tcW w:w="2792" w:type="dxa"/>
            <w:tcBorders>
              <w:tl2br w:val="nil"/>
              <w:tr2bl w:val="nil"/>
            </w:tcBorders>
            <w:vAlign w:val="center"/>
          </w:tcPr>
          <w:p w14:paraId="0083E9F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生物量</w:t>
            </w:r>
          </w:p>
        </w:tc>
        <w:tc>
          <w:tcPr>
            <w:tcW w:w="2065" w:type="dxa"/>
            <w:vMerge w:val="restart"/>
            <w:tcBorders>
              <w:tl2br w:val="nil"/>
              <w:tr2bl w:val="nil"/>
            </w:tcBorders>
            <w:vAlign w:val="center"/>
          </w:tcPr>
          <w:p w14:paraId="523F602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GB/T42340</w:t>
            </w:r>
          </w:p>
        </w:tc>
      </w:tr>
      <w:tr w14:paraId="21211C9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39606AE0">
            <w:pPr>
              <w:widowControl/>
              <w:topLinePunct/>
              <w:snapToGrid w:val="0"/>
              <w:spacing w:line="240" w:lineRule="auto"/>
              <w:jc w:val="center"/>
              <w:rPr>
                <w:rFonts w:ascii="Times New Roman" w:hAnsi="Times New Roman" w:cs="Times New Roman"/>
                <w:color w:val="000000" w:themeColor="text1"/>
              </w:rPr>
            </w:pPr>
          </w:p>
        </w:tc>
        <w:tc>
          <w:tcPr>
            <w:tcW w:w="1978" w:type="dxa"/>
            <w:vMerge w:val="continue"/>
            <w:tcBorders>
              <w:tl2br w:val="nil"/>
              <w:tr2bl w:val="nil"/>
            </w:tcBorders>
            <w:vAlign w:val="center"/>
          </w:tcPr>
          <w:p w14:paraId="2F82462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55E6E20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植被覆盖度</w:t>
            </w:r>
          </w:p>
        </w:tc>
        <w:tc>
          <w:tcPr>
            <w:tcW w:w="2065" w:type="dxa"/>
            <w:vMerge w:val="continue"/>
            <w:tcBorders>
              <w:tl2br w:val="nil"/>
              <w:tr2bl w:val="nil"/>
            </w:tcBorders>
            <w:vAlign w:val="center"/>
          </w:tcPr>
          <w:p w14:paraId="31C6BA81">
            <w:pPr>
              <w:widowControl/>
              <w:topLinePunct/>
              <w:snapToGrid w:val="0"/>
              <w:spacing w:line="240" w:lineRule="auto"/>
              <w:jc w:val="center"/>
              <w:rPr>
                <w:rFonts w:ascii="Times New Roman" w:hAnsi="Times New Roman" w:cs="Times New Roman"/>
                <w:color w:val="000000" w:themeColor="text1"/>
              </w:rPr>
            </w:pPr>
          </w:p>
        </w:tc>
      </w:tr>
      <w:tr w14:paraId="7BE14C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41F6C639">
            <w:pPr>
              <w:widowControl/>
              <w:topLinePunct/>
              <w:snapToGrid w:val="0"/>
              <w:spacing w:line="240" w:lineRule="auto"/>
              <w:jc w:val="center"/>
              <w:rPr>
                <w:rFonts w:ascii="Times New Roman" w:hAnsi="Times New Roman" w:cs="Times New Roman"/>
                <w:color w:val="000000" w:themeColor="text1"/>
              </w:rPr>
            </w:pPr>
          </w:p>
        </w:tc>
        <w:tc>
          <w:tcPr>
            <w:tcW w:w="1978" w:type="dxa"/>
            <w:vMerge w:val="continue"/>
            <w:tcBorders>
              <w:tl2br w:val="nil"/>
              <w:tr2bl w:val="nil"/>
            </w:tcBorders>
            <w:vAlign w:val="center"/>
          </w:tcPr>
          <w:p w14:paraId="625C71C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496FBFA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水质</w:t>
            </w:r>
          </w:p>
        </w:tc>
        <w:tc>
          <w:tcPr>
            <w:tcW w:w="2065" w:type="dxa"/>
            <w:vMerge w:val="continue"/>
            <w:tcBorders>
              <w:tl2br w:val="nil"/>
              <w:tr2bl w:val="nil"/>
            </w:tcBorders>
            <w:vAlign w:val="center"/>
          </w:tcPr>
          <w:p w14:paraId="15D8E7BC">
            <w:pPr>
              <w:widowControl/>
              <w:topLinePunct/>
              <w:snapToGrid w:val="0"/>
              <w:spacing w:line="240" w:lineRule="auto"/>
              <w:jc w:val="center"/>
              <w:rPr>
                <w:rFonts w:ascii="Times New Roman" w:hAnsi="Times New Roman" w:cs="Times New Roman"/>
                <w:color w:val="000000" w:themeColor="text1"/>
              </w:rPr>
            </w:pPr>
          </w:p>
        </w:tc>
      </w:tr>
      <w:tr w14:paraId="6E58ACB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39BB6345">
            <w:pPr>
              <w:widowControl/>
              <w:topLinePunct/>
              <w:snapToGrid w:val="0"/>
              <w:spacing w:line="240" w:lineRule="auto"/>
              <w:jc w:val="center"/>
              <w:rPr>
                <w:rFonts w:ascii="Times New Roman" w:hAnsi="Times New Roman" w:cs="Times New Roman"/>
                <w:color w:val="000000" w:themeColor="text1"/>
              </w:rPr>
            </w:pPr>
          </w:p>
        </w:tc>
        <w:tc>
          <w:tcPr>
            <w:tcW w:w="1978" w:type="dxa"/>
            <w:vMerge w:val="continue"/>
            <w:tcBorders>
              <w:tl2br w:val="nil"/>
              <w:tr2bl w:val="nil"/>
            </w:tcBorders>
            <w:vAlign w:val="center"/>
          </w:tcPr>
          <w:p w14:paraId="1E9EBD2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792" w:type="dxa"/>
            <w:tcBorders>
              <w:tl2br w:val="nil"/>
              <w:tr2bl w:val="nil"/>
            </w:tcBorders>
            <w:vAlign w:val="center"/>
          </w:tcPr>
          <w:p w14:paraId="726B34D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生态系统质量综合指数</w:t>
            </w:r>
          </w:p>
        </w:tc>
        <w:tc>
          <w:tcPr>
            <w:tcW w:w="2065" w:type="dxa"/>
            <w:vMerge w:val="continue"/>
            <w:tcBorders>
              <w:tl2br w:val="nil"/>
              <w:tr2bl w:val="nil"/>
            </w:tcBorders>
            <w:vAlign w:val="center"/>
          </w:tcPr>
          <w:p w14:paraId="3B38408E">
            <w:pPr>
              <w:widowControl/>
              <w:topLinePunct/>
              <w:snapToGrid w:val="0"/>
              <w:spacing w:line="240" w:lineRule="auto"/>
              <w:jc w:val="center"/>
              <w:rPr>
                <w:rFonts w:ascii="Times New Roman" w:hAnsi="Times New Roman" w:cs="Times New Roman"/>
                <w:color w:val="000000" w:themeColor="text1"/>
              </w:rPr>
            </w:pPr>
          </w:p>
        </w:tc>
      </w:tr>
    </w:tbl>
    <w:p w14:paraId="3EB36D1A">
      <w:pPr>
        <w:pStyle w:val="182"/>
        <w:topLinePunct/>
        <w:ind w:firstLine="0" w:firstLineChars="0"/>
        <w:rPr>
          <w:rFonts w:ascii="Times New Roman" w:hAnsi="Times New Roman"/>
          <w:color w:val="000000" w:themeColor="text1"/>
        </w:rPr>
      </w:pPr>
      <w:r>
        <w:rPr>
          <w:rFonts w:ascii="Times New Roman" w:hAnsi="Times New Roman"/>
          <w:color w:val="000000" w:themeColor="text1"/>
        </w:rPr>
        <w:t>表2-4</w:t>
      </w:r>
      <w:r>
        <w:rPr>
          <w:rFonts w:ascii="Times New Roman" w:hAnsi="Times New Roman"/>
          <w:color w:val="000000" w:themeColor="text1"/>
        </w:rPr>
        <w:tab/>
      </w:r>
      <w:r>
        <w:rPr>
          <w:rFonts w:ascii="Times New Roman" w:hAnsi="Times New Roman"/>
          <w:color w:val="000000" w:themeColor="text1"/>
        </w:rPr>
        <w:t>矿山开采中生态修复监测内容与监测指标表</w:t>
      </w:r>
    </w:p>
    <w:tbl>
      <w:tblPr>
        <w:tblStyle w:val="42"/>
        <w:tblW w:w="5052"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203"/>
        <w:gridCol w:w="1206"/>
        <w:gridCol w:w="3151"/>
        <w:gridCol w:w="1737"/>
        <w:gridCol w:w="1898"/>
      </w:tblGrid>
      <w:tr w14:paraId="1D1FE0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401" w:type="dxa"/>
            <w:gridSpan w:val="2"/>
            <w:tcBorders>
              <w:tl2br w:val="nil"/>
              <w:tr2bl w:val="nil"/>
            </w:tcBorders>
            <w:vAlign w:val="center"/>
          </w:tcPr>
          <w:p w14:paraId="7225F7D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监测对象</w:t>
            </w:r>
          </w:p>
        </w:tc>
        <w:tc>
          <w:tcPr>
            <w:tcW w:w="3141" w:type="dxa"/>
            <w:tcBorders>
              <w:tl2br w:val="nil"/>
              <w:tr2bl w:val="nil"/>
            </w:tcBorders>
            <w:vAlign w:val="center"/>
          </w:tcPr>
          <w:p w14:paraId="13247C8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监测内容</w:t>
            </w:r>
          </w:p>
        </w:tc>
        <w:tc>
          <w:tcPr>
            <w:tcW w:w="1732" w:type="dxa"/>
            <w:tcBorders>
              <w:tl2br w:val="nil"/>
              <w:tr2bl w:val="nil"/>
            </w:tcBorders>
            <w:vAlign w:val="center"/>
          </w:tcPr>
          <w:p w14:paraId="3CC7EE6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监测指标</w:t>
            </w:r>
          </w:p>
        </w:tc>
        <w:tc>
          <w:tcPr>
            <w:tcW w:w="1892" w:type="dxa"/>
            <w:tcBorders>
              <w:tl2br w:val="nil"/>
              <w:tr2bl w:val="nil"/>
            </w:tcBorders>
            <w:vAlign w:val="center"/>
          </w:tcPr>
          <w:p w14:paraId="34D9092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监测方法</w:t>
            </w:r>
          </w:p>
        </w:tc>
      </w:tr>
      <w:tr w14:paraId="63B2BCB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401" w:type="dxa"/>
            <w:gridSpan w:val="2"/>
            <w:tcBorders>
              <w:tl2br w:val="nil"/>
              <w:tr2bl w:val="nil"/>
            </w:tcBorders>
            <w:vAlign w:val="center"/>
          </w:tcPr>
          <w:p w14:paraId="5E791C8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保护预防控制监测</w:t>
            </w:r>
          </w:p>
        </w:tc>
        <w:tc>
          <w:tcPr>
            <w:tcW w:w="3141" w:type="dxa"/>
            <w:tcBorders>
              <w:tl2br w:val="nil"/>
              <w:tr2bl w:val="nil"/>
            </w:tcBorders>
            <w:vAlign w:val="center"/>
          </w:tcPr>
          <w:p w14:paraId="422D82A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预防控制措施</w:t>
            </w:r>
          </w:p>
        </w:tc>
        <w:tc>
          <w:tcPr>
            <w:tcW w:w="1732" w:type="dxa"/>
            <w:tcBorders>
              <w:tl2br w:val="nil"/>
              <w:tr2bl w:val="nil"/>
            </w:tcBorders>
            <w:vAlign w:val="center"/>
          </w:tcPr>
          <w:p w14:paraId="5DEB3582">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892" w:type="dxa"/>
            <w:tcBorders>
              <w:tl2br w:val="nil"/>
              <w:tr2bl w:val="nil"/>
            </w:tcBorders>
            <w:vAlign w:val="center"/>
          </w:tcPr>
          <w:p w14:paraId="0547F7C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实地调查公众访谈</w:t>
            </w:r>
          </w:p>
        </w:tc>
      </w:tr>
      <w:tr w14:paraId="62A2F18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199" w:type="dxa"/>
            <w:vMerge w:val="restart"/>
            <w:tcBorders>
              <w:tl2br w:val="nil"/>
              <w:tr2bl w:val="nil"/>
            </w:tcBorders>
            <w:vAlign w:val="center"/>
          </w:tcPr>
          <w:p w14:paraId="78EAD13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损毁现状与拟损毁监测</w:t>
            </w:r>
          </w:p>
        </w:tc>
        <w:tc>
          <w:tcPr>
            <w:tcW w:w="1202" w:type="dxa"/>
            <w:vMerge w:val="restart"/>
            <w:tcBorders>
              <w:tl2br w:val="nil"/>
              <w:tr2bl w:val="nil"/>
            </w:tcBorders>
            <w:vAlign w:val="center"/>
          </w:tcPr>
          <w:p w14:paraId="4248C69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地质环境损毁</w:t>
            </w:r>
          </w:p>
        </w:tc>
        <w:tc>
          <w:tcPr>
            <w:tcW w:w="3141" w:type="dxa"/>
            <w:tcBorders>
              <w:tl2br w:val="nil"/>
              <w:tr2bl w:val="nil"/>
            </w:tcBorders>
            <w:vAlign w:val="center"/>
          </w:tcPr>
          <w:p w14:paraId="0A863A4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不稳定边坡</w:t>
            </w:r>
          </w:p>
        </w:tc>
        <w:tc>
          <w:tcPr>
            <w:tcW w:w="1732" w:type="dxa"/>
            <w:tcBorders>
              <w:tl2br w:val="nil"/>
              <w:tr2bl w:val="nil"/>
            </w:tcBorders>
            <w:vAlign w:val="center"/>
          </w:tcPr>
          <w:p w14:paraId="08B639C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地表形变</w:t>
            </w:r>
          </w:p>
        </w:tc>
        <w:tc>
          <w:tcPr>
            <w:tcW w:w="1892" w:type="dxa"/>
            <w:vMerge w:val="restart"/>
            <w:tcBorders>
              <w:tl2br w:val="nil"/>
              <w:tr2bl w:val="nil"/>
            </w:tcBorders>
            <w:vAlign w:val="center"/>
          </w:tcPr>
          <w:p w14:paraId="4BDCE7C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DZ/T0287DZ/T0388</w:t>
            </w:r>
          </w:p>
        </w:tc>
      </w:tr>
      <w:tr w14:paraId="1EC79F4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199" w:type="dxa"/>
            <w:vMerge w:val="continue"/>
            <w:tcBorders>
              <w:tl2br w:val="nil"/>
              <w:tr2bl w:val="nil"/>
            </w:tcBorders>
            <w:vAlign w:val="center"/>
          </w:tcPr>
          <w:p w14:paraId="5E602873">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02" w:type="dxa"/>
            <w:vMerge w:val="continue"/>
            <w:tcBorders>
              <w:tl2br w:val="nil"/>
              <w:tr2bl w:val="nil"/>
            </w:tcBorders>
            <w:vAlign w:val="center"/>
          </w:tcPr>
          <w:p w14:paraId="6F15211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3141" w:type="dxa"/>
            <w:tcBorders>
              <w:tl2br w:val="nil"/>
              <w:tr2bl w:val="nil"/>
            </w:tcBorders>
            <w:vAlign w:val="center"/>
          </w:tcPr>
          <w:p w14:paraId="522EF02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地下水环境破坏（含水层、地下潜水、开采目的层、疏干层）</w:t>
            </w:r>
          </w:p>
        </w:tc>
        <w:tc>
          <w:tcPr>
            <w:tcW w:w="1732" w:type="dxa"/>
            <w:tcBorders>
              <w:tl2br w:val="nil"/>
              <w:tr2bl w:val="nil"/>
            </w:tcBorders>
            <w:vAlign w:val="center"/>
          </w:tcPr>
          <w:p w14:paraId="3BDDADC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含水层破坏类型</w:t>
            </w:r>
          </w:p>
        </w:tc>
        <w:tc>
          <w:tcPr>
            <w:tcW w:w="1892" w:type="dxa"/>
            <w:vMerge w:val="continue"/>
            <w:tcBorders>
              <w:tl2br w:val="nil"/>
              <w:tr2bl w:val="nil"/>
            </w:tcBorders>
            <w:vAlign w:val="center"/>
          </w:tcPr>
          <w:p w14:paraId="46CF2CCD">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49424AC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417" w:hRule="atLeast"/>
        </w:trPr>
        <w:tc>
          <w:tcPr>
            <w:tcW w:w="1199" w:type="dxa"/>
            <w:vMerge w:val="continue"/>
            <w:tcBorders>
              <w:tl2br w:val="nil"/>
              <w:tr2bl w:val="nil"/>
            </w:tcBorders>
            <w:vAlign w:val="center"/>
          </w:tcPr>
          <w:p w14:paraId="74D0178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02" w:type="dxa"/>
            <w:tcBorders>
              <w:tl2br w:val="nil"/>
              <w:tr2bl w:val="nil"/>
            </w:tcBorders>
            <w:vAlign w:val="center"/>
          </w:tcPr>
          <w:p w14:paraId="541DB08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土地资源损毁</w:t>
            </w:r>
          </w:p>
        </w:tc>
        <w:tc>
          <w:tcPr>
            <w:tcW w:w="3141" w:type="dxa"/>
            <w:tcBorders>
              <w:tl2br w:val="nil"/>
              <w:tr2bl w:val="nil"/>
            </w:tcBorders>
            <w:vAlign w:val="center"/>
          </w:tcPr>
          <w:p w14:paraId="3CCD871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挖损土地面积</w:t>
            </w:r>
          </w:p>
        </w:tc>
        <w:tc>
          <w:tcPr>
            <w:tcW w:w="1732" w:type="dxa"/>
            <w:tcBorders>
              <w:tl2br w:val="nil"/>
              <w:tr2bl w:val="nil"/>
            </w:tcBorders>
            <w:vAlign w:val="center"/>
          </w:tcPr>
          <w:p w14:paraId="50C7CAD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对采坑的大小、深度和边坡坡度的大小情况进行现场登记。</w:t>
            </w:r>
          </w:p>
        </w:tc>
        <w:tc>
          <w:tcPr>
            <w:tcW w:w="1892" w:type="dxa"/>
            <w:tcBorders>
              <w:tl2br w:val="nil"/>
              <w:tr2bl w:val="nil"/>
            </w:tcBorders>
            <w:vAlign w:val="center"/>
          </w:tcPr>
          <w:p w14:paraId="3816453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TD/T1049TD/T1055TD/T1031</w:t>
            </w:r>
          </w:p>
        </w:tc>
      </w:tr>
      <w:tr w14:paraId="43162B4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199" w:type="dxa"/>
            <w:vMerge w:val="continue"/>
            <w:tcBorders>
              <w:tl2br w:val="nil"/>
              <w:tr2bl w:val="nil"/>
            </w:tcBorders>
            <w:vAlign w:val="center"/>
          </w:tcPr>
          <w:p w14:paraId="53B45825">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02" w:type="dxa"/>
            <w:tcBorders>
              <w:tl2br w:val="nil"/>
              <w:tr2bl w:val="nil"/>
            </w:tcBorders>
            <w:vAlign w:val="center"/>
          </w:tcPr>
          <w:p w14:paraId="0AD494C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生态系统破坏</w:t>
            </w:r>
          </w:p>
        </w:tc>
        <w:tc>
          <w:tcPr>
            <w:tcW w:w="3141" w:type="dxa"/>
            <w:tcBorders>
              <w:tl2br w:val="nil"/>
              <w:tr2bl w:val="nil"/>
            </w:tcBorders>
            <w:vAlign w:val="center"/>
          </w:tcPr>
          <w:p w14:paraId="20A5C3C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土地质量监测</w:t>
            </w:r>
          </w:p>
          <w:p w14:paraId="2EB954A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复垦效果监测</w:t>
            </w:r>
          </w:p>
        </w:tc>
        <w:tc>
          <w:tcPr>
            <w:tcW w:w="1732" w:type="dxa"/>
            <w:tcBorders>
              <w:tl2br w:val="nil"/>
              <w:tr2bl w:val="nil"/>
            </w:tcBorders>
            <w:vAlign w:val="center"/>
          </w:tcPr>
          <w:p w14:paraId="68756F8F">
            <w:pPr>
              <w:widowControl/>
              <w:topLinePunct/>
              <w:snapToGrid w:val="0"/>
              <w:spacing w:line="240" w:lineRule="auto"/>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对修复区土地进行土壤质量监测，监测内容为地面坡度、覆土厚度、pH值、重金属含量、有效土层厚度、土壤质地、土壤砾石含量、有机质、全氮、有效磷、有效钾等；</w:t>
            </w:r>
          </w:p>
          <w:p w14:paraId="45CF1EAA">
            <w:pPr>
              <w:widowControl/>
              <w:topLinePunct/>
              <w:snapToGrid w:val="0"/>
              <w:spacing w:line="240" w:lineRule="auto"/>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植物生长势、高度、成活率、郁闭度、种植密度等。</w:t>
            </w:r>
          </w:p>
        </w:tc>
        <w:tc>
          <w:tcPr>
            <w:tcW w:w="1892" w:type="dxa"/>
            <w:tcBorders>
              <w:tl2br w:val="nil"/>
              <w:tr2bl w:val="nil"/>
            </w:tcBorders>
            <w:vAlign w:val="center"/>
          </w:tcPr>
          <w:p w14:paraId="086B7E5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TD/T1055</w:t>
            </w:r>
          </w:p>
        </w:tc>
      </w:tr>
    </w:tbl>
    <w:p w14:paraId="147A335B">
      <w:pPr>
        <w:pStyle w:val="178"/>
        <w:topLinePunct/>
        <w:rPr>
          <w:rFonts w:ascii="Times New Roman" w:hAnsi="Times New Roman" w:cs="Times New Roman"/>
          <w:color w:val="000000" w:themeColor="text1"/>
        </w:rPr>
      </w:pPr>
    </w:p>
    <w:p w14:paraId="778C04C0">
      <w:pPr>
        <w:widowControl/>
        <w:topLinePunct/>
        <w:jc w:val="left"/>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br w:type="page"/>
      </w:r>
    </w:p>
    <w:p w14:paraId="02DBF7FE">
      <w:pPr>
        <w:pStyle w:val="159"/>
        <w:topLinePunct/>
        <w:rPr>
          <w:rFonts w:ascii="Times New Roman" w:hAnsi="Times New Roman" w:cs="Times New Roman"/>
          <w:color w:val="000000" w:themeColor="text1"/>
        </w:rPr>
      </w:pPr>
      <w:bookmarkStart w:id="20" w:name="_Toc31898"/>
      <w:r>
        <w:rPr>
          <w:rFonts w:ascii="Times New Roman" w:hAnsi="Times New Roman" w:cs="Times New Roman"/>
          <w:color w:val="000000" w:themeColor="text1"/>
        </w:rPr>
        <w:t>第三章 问题识别诊断及修复可行性分析</w:t>
      </w:r>
      <w:bookmarkEnd w:id="20"/>
    </w:p>
    <w:p w14:paraId="2B0BC537">
      <w:pPr>
        <w:pStyle w:val="174"/>
        <w:topLinePunct/>
        <w:rPr>
          <w:rFonts w:ascii="Times New Roman" w:hAnsi="Times New Roman" w:cs="Times New Roman"/>
          <w:color w:val="000000" w:themeColor="text1"/>
        </w:rPr>
      </w:pPr>
      <w:bookmarkStart w:id="21" w:name="_Toc4933"/>
      <w:r>
        <w:rPr>
          <w:rFonts w:ascii="Times New Roman" w:hAnsi="Times New Roman" w:cs="Times New Roman"/>
          <w:color w:val="000000" w:themeColor="text1"/>
        </w:rPr>
        <w:t>一、问题识别与受损预测</w:t>
      </w:r>
      <w:bookmarkEnd w:id="21"/>
    </w:p>
    <w:p w14:paraId="5746BB5B">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（一）现状问题识别</w:t>
      </w:r>
    </w:p>
    <w:p w14:paraId="29AC001F">
      <w:pPr>
        <w:pStyle w:val="179"/>
        <w:topLinePunct/>
        <w:rPr>
          <w:rFonts w:ascii="Times New Roman" w:hAnsi="Times New Roman" w:cs="Times New Roman"/>
          <w:color w:val="000000" w:themeColor="text1"/>
        </w:rPr>
      </w:pPr>
      <w:r>
        <w:rPr>
          <w:rFonts w:ascii="Times New Roman" w:hAnsi="Times New Roman" w:cs="Times New Roman"/>
          <w:color w:val="000000" w:themeColor="text1"/>
        </w:rPr>
        <w:t>1、采矿活动影响范围</w:t>
      </w:r>
    </w:p>
    <w:p w14:paraId="3C0D93C7">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（1）评估范围</w:t>
      </w:r>
    </w:p>
    <w:p w14:paraId="4991AFED">
      <w:pPr>
        <w:pStyle w:val="178"/>
        <w:topLinePunct/>
        <w:rPr>
          <w:rFonts w:ascii="Times New Roman" w:hAnsi="Times New Roman" w:cs="Times New Roman"/>
          <w:color w:val="000000" w:themeColor="text1"/>
        </w:rPr>
      </w:pPr>
      <w:r>
        <w:rPr>
          <w:rFonts w:ascii="Times New Roman" w:hAnsi="Times New Roman" w:cs="Times New Roman"/>
          <w:color w:val="000000" w:themeColor="text1"/>
        </w:rPr>
        <w:t>依据自然资源部《矿区生态修复方案编制指南(临时)》（2025年9月）的有关要求，评估区范围应根据矿山地质环境调查结果分析确定。矿山地质环境调查的范围应包括采矿权登记范围、采矿活动可能影响以及被影响的地质环境体范围，最后根据整合后矿区坐标，将矿区范围向外延伸20m，圈定评估区范围</w:t>
      </w:r>
      <w:r>
        <w:rPr>
          <w:rFonts w:hint="eastAsia" w:ascii="Times New Roman" w:hAnsi="Times New Roman" w:cs="Times New Roman"/>
          <w:color w:val="000000" w:themeColor="text1"/>
        </w:rPr>
        <w:t>19.77h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。评估区拐点坐标见下表。</w:t>
      </w:r>
    </w:p>
    <w:p w14:paraId="39DF5D8C">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表3-1　</w:t>
      </w:r>
      <w:r>
        <w:rPr>
          <w:rFonts w:hint="eastAsia" w:ascii="Times New Roman" w:hAnsi="Times New Roman"/>
          <w:color w:val="000000" w:themeColor="text1"/>
        </w:rPr>
        <w:t>鸡东县永平采石场</w:t>
      </w:r>
      <w:r>
        <w:rPr>
          <w:rFonts w:ascii="Times New Roman" w:hAnsi="Times New Roman"/>
          <w:color w:val="000000" w:themeColor="text1"/>
        </w:rPr>
        <w:t>评估区拐点坐标表（2000国家坐标系）</w:t>
      </w:r>
    </w:p>
    <w:tbl>
      <w:tblPr>
        <w:tblStyle w:val="42"/>
        <w:tblW w:w="500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247"/>
        <w:gridCol w:w="3882"/>
        <w:gridCol w:w="3978"/>
      </w:tblGrid>
      <w:tr w14:paraId="231437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48274EDD">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序号</w:t>
            </w:r>
          </w:p>
        </w:tc>
        <w:tc>
          <w:tcPr>
            <w:tcW w:w="3879" w:type="dxa"/>
            <w:vAlign w:val="center"/>
          </w:tcPr>
          <w:p w14:paraId="7B2B27A8">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X</w:t>
            </w:r>
          </w:p>
        </w:tc>
        <w:tc>
          <w:tcPr>
            <w:tcW w:w="3975" w:type="dxa"/>
            <w:vAlign w:val="center"/>
          </w:tcPr>
          <w:p w14:paraId="5C4DBCC2">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Y</w:t>
            </w:r>
          </w:p>
        </w:tc>
      </w:tr>
      <w:tr w14:paraId="6F1CD1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4EE5B255">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w:t>
            </w:r>
          </w:p>
        </w:tc>
        <w:tc>
          <w:tcPr>
            <w:tcW w:w="3879" w:type="dxa"/>
            <w:vAlign w:val="center"/>
          </w:tcPr>
          <w:p w14:paraId="2AF9C796">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5024941.520 </w:t>
            </w:r>
          </w:p>
        </w:tc>
        <w:tc>
          <w:tcPr>
            <w:tcW w:w="3975" w:type="dxa"/>
            <w:vAlign w:val="center"/>
          </w:tcPr>
          <w:p w14:paraId="2F88AAB7">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44456185.643 </w:t>
            </w:r>
          </w:p>
        </w:tc>
      </w:tr>
      <w:tr w14:paraId="780FDF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6895FD1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w:t>
            </w:r>
          </w:p>
        </w:tc>
        <w:tc>
          <w:tcPr>
            <w:tcW w:w="3879" w:type="dxa"/>
            <w:vAlign w:val="center"/>
          </w:tcPr>
          <w:p w14:paraId="391BDBF0">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5025047.688 </w:t>
            </w:r>
          </w:p>
        </w:tc>
        <w:tc>
          <w:tcPr>
            <w:tcW w:w="3975" w:type="dxa"/>
            <w:vAlign w:val="center"/>
          </w:tcPr>
          <w:p w14:paraId="74740709">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44456206.524 </w:t>
            </w:r>
          </w:p>
        </w:tc>
      </w:tr>
      <w:tr w14:paraId="2F0F52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4538714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3</w:t>
            </w:r>
          </w:p>
        </w:tc>
        <w:tc>
          <w:tcPr>
            <w:tcW w:w="3879" w:type="dxa"/>
            <w:vAlign w:val="center"/>
          </w:tcPr>
          <w:p w14:paraId="7BAC02E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5025086.524 </w:t>
            </w:r>
          </w:p>
        </w:tc>
        <w:tc>
          <w:tcPr>
            <w:tcW w:w="3975" w:type="dxa"/>
            <w:vAlign w:val="center"/>
          </w:tcPr>
          <w:p w14:paraId="50FF514E">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44456331.781 </w:t>
            </w:r>
          </w:p>
        </w:tc>
      </w:tr>
      <w:tr w14:paraId="61916A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47746A11">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4</w:t>
            </w:r>
          </w:p>
        </w:tc>
        <w:tc>
          <w:tcPr>
            <w:tcW w:w="3879" w:type="dxa"/>
            <w:vAlign w:val="center"/>
          </w:tcPr>
          <w:p w14:paraId="0C119678">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5025088.376 </w:t>
            </w:r>
          </w:p>
        </w:tc>
        <w:tc>
          <w:tcPr>
            <w:tcW w:w="3975" w:type="dxa"/>
            <w:vAlign w:val="center"/>
          </w:tcPr>
          <w:p w14:paraId="7773838D">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44456505.321 </w:t>
            </w:r>
          </w:p>
        </w:tc>
      </w:tr>
      <w:tr w14:paraId="6ADBAB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4A066BE8">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5</w:t>
            </w:r>
          </w:p>
        </w:tc>
        <w:tc>
          <w:tcPr>
            <w:tcW w:w="3879" w:type="dxa"/>
            <w:vAlign w:val="center"/>
          </w:tcPr>
          <w:p w14:paraId="0DFB0D3D">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5024824.663 </w:t>
            </w:r>
          </w:p>
        </w:tc>
        <w:tc>
          <w:tcPr>
            <w:tcW w:w="3975" w:type="dxa"/>
            <w:vAlign w:val="center"/>
          </w:tcPr>
          <w:p w14:paraId="165DF28B">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44456575.147 </w:t>
            </w:r>
          </w:p>
        </w:tc>
      </w:tr>
      <w:tr w14:paraId="58162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083EC6C0">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6</w:t>
            </w:r>
          </w:p>
        </w:tc>
        <w:tc>
          <w:tcPr>
            <w:tcW w:w="3879" w:type="dxa"/>
            <w:vAlign w:val="center"/>
          </w:tcPr>
          <w:p w14:paraId="233D43B8">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5024679.354 </w:t>
            </w:r>
          </w:p>
        </w:tc>
        <w:tc>
          <w:tcPr>
            <w:tcW w:w="3975" w:type="dxa"/>
            <w:vAlign w:val="center"/>
          </w:tcPr>
          <w:p w14:paraId="18011E95">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44456451.049 </w:t>
            </w:r>
          </w:p>
        </w:tc>
      </w:tr>
      <w:tr w14:paraId="639D6C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79310A11">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7</w:t>
            </w:r>
          </w:p>
        </w:tc>
        <w:tc>
          <w:tcPr>
            <w:tcW w:w="3879" w:type="dxa"/>
            <w:vAlign w:val="center"/>
          </w:tcPr>
          <w:p w14:paraId="77DB72B6">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5024611.327 </w:t>
            </w:r>
          </w:p>
        </w:tc>
        <w:tc>
          <w:tcPr>
            <w:tcW w:w="3975" w:type="dxa"/>
            <w:vAlign w:val="center"/>
          </w:tcPr>
          <w:p w14:paraId="7129D19E">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44456334.359 </w:t>
            </w:r>
          </w:p>
        </w:tc>
      </w:tr>
      <w:tr w14:paraId="715CD2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4A122966">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8</w:t>
            </w:r>
          </w:p>
        </w:tc>
        <w:tc>
          <w:tcPr>
            <w:tcW w:w="3879" w:type="dxa"/>
            <w:vAlign w:val="center"/>
          </w:tcPr>
          <w:p w14:paraId="469CDAD8">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5024530.968 </w:t>
            </w:r>
          </w:p>
        </w:tc>
        <w:tc>
          <w:tcPr>
            <w:tcW w:w="3975" w:type="dxa"/>
            <w:vAlign w:val="center"/>
          </w:tcPr>
          <w:p w14:paraId="318F3B88">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44456287.532 </w:t>
            </w:r>
          </w:p>
        </w:tc>
      </w:tr>
      <w:tr w14:paraId="61F31F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599DF416">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9</w:t>
            </w:r>
          </w:p>
        </w:tc>
        <w:tc>
          <w:tcPr>
            <w:tcW w:w="3879" w:type="dxa"/>
            <w:vAlign w:val="center"/>
          </w:tcPr>
          <w:p w14:paraId="5D9F66F6">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5024548.830 </w:t>
            </w:r>
          </w:p>
        </w:tc>
        <w:tc>
          <w:tcPr>
            <w:tcW w:w="3975" w:type="dxa"/>
            <w:vAlign w:val="center"/>
          </w:tcPr>
          <w:p w14:paraId="4F5FBD25">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44456120.715 </w:t>
            </w:r>
          </w:p>
        </w:tc>
      </w:tr>
      <w:tr w14:paraId="7260AC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5643F91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10</w:t>
            </w:r>
          </w:p>
        </w:tc>
        <w:tc>
          <w:tcPr>
            <w:tcW w:w="3879" w:type="dxa"/>
            <w:vAlign w:val="center"/>
          </w:tcPr>
          <w:p w14:paraId="7B77022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5024641.473 </w:t>
            </w:r>
          </w:p>
        </w:tc>
        <w:tc>
          <w:tcPr>
            <w:tcW w:w="3975" w:type="dxa"/>
            <w:vAlign w:val="center"/>
          </w:tcPr>
          <w:p w14:paraId="2C9692CA">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44456059.504 </w:t>
            </w:r>
          </w:p>
        </w:tc>
      </w:tr>
      <w:tr w14:paraId="05F15D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4C08ACF2">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11</w:t>
            </w:r>
          </w:p>
        </w:tc>
        <w:tc>
          <w:tcPr>
            <w:tcW w:w="3879" w:type="dxa"/>
            <w:vAlign w:val="center"/>
          </w:tcPr>
          <w:p w14:paraId="59CF7688">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5024824.817 </w:t>
            </w:r>
          </w:p>
        </w:tc>
        <w:tc>
          <w:tcPr>
            <w:tcW w:w="3975" w:type="dxa"/>
            <w:vAlign w:val="center"/>
          </w:tcPr>
          <w:p w14:paraId="288D88AA">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44456071.042 </w:t>
            </w:r>
          </w:p>
        </w:tc>
      </w:tr>
    </w:tbl>
    <w:p w14:paraId="4256928E">
      <w:pPr>
        <w:pStyle w:val="178"/>
        <w:topLinePunct/>
        <w:rPr>
          <w:rFonts w:ascii="Times New Roman" w:hAnsi="Times New Roman" w:cs="Times New Roman"/>
          <w:color w:val="000000" w:themeColor="text1"/>
        </w:rPr>
      </w:pPr>
    </w:p>
    <w:p w14:paraId="2E1A5001">
      <w:pPr>
        <w:pStyle w:val="35"/>
        <w:ind w:firstLine="0" w:firstLineChars="0"/>
        <w:jc w:val="center"/>
        <w:rPr>
          <w:bCs/>
          <w:color w:val="000000" w:themeColor="text1"/>
          <w:sz w:val="24"/>
        </w:rPr>
      </w:pPr>
      <w:r>
        <w:rPr>
          <w:bCs/>
          <w:color w:val="000000" w:themeColor="text1"/>
          <w:sz w:val="24"/>
        </w:rPr>
        <w:drawing>
          <wp:inline distT="0" distB="0" distL="114300" distR="114300">
            <wp:extent cx="5756910" cy="5760085"/>
            <wp:effectExtent l="0" t="0" r="15240" b="12065"/>
            <wp:docPr id="11" name="图片 11"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44"/>
                    <pic:cNvPicPr>
                      <a:picLocks noChangeAspect="1"/>
                    </pic:cNvPicPr>
                  </pic:nvPicPr>
                  <pic:blipFill>
                    <a:blip r:embed="rId17"/>
                    <a:stretch>
                      <a:fillRect/>
                    </a:stretch>
                  </pic:blipFill>
                  <pic:spPr>
                    <a:xfrm>
                      <a:off x="0" y="0"/>
                      <a:ext cx="5756910" cy="5760085"/>
                    </a:xfrm>
                    <a:prstGeom prst="rect">
                      <a:avLst/>
                    </a:prstGeom>
                  </pic:spPr>
                </pic:pic>
              </a:graphicData>
            </a:graphic>
          </wp:inline>
        </w:drawing>
      </w:r>
    </w:p>
    <w:p w14:paraId="2E1BF228">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图3-1评估区范围示意图</w:t>
      </w:r>
    </w:p>
    <w:p w14:paraId="01697115">
      <w:pPr>
        <w:pStyle w:val="178"/>
        <w:topLinePunct/>
        <w:rPr>
          <w:rFonts w:ascii="Times New Roman" w:hAnsi="Times New Roman" w:cs="Times New Roman"/>
          <w:color w:val="000000" w:themeColor="text1"/>
        </w:rPr>
      </w:pPr>
      <w:r>
        <w:rPr>
          <w:rFonts w:ascii="Times New Roman" w:hAnsi="Times New Roman" w:cs="Times New Roman"/>
          <w:color w:val="000000" w:themeColor="text1"/>
        </w:rPr>
        <w:t>（2）评估级别</w:t>
      </w:r>
    </w:p>
    <w:p w14:paraId="79F6A8D2">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矿山地质环境影响评估级别根据评估区重要程度、矿山生产建设规模、矿山地质环境条件复杂程度综合确定。</w:t>
      </w:r>
    </w:p>
    <w:p w14:paraId="2B6E487E">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1）评估区重要程度</w:t>
      </w:r>
    </w:p>
    <w:p w14:paraId="761A2182">
      <w:pPr>
        <w:pStyle w:val="178"/>
        <w:topLinePunct/>
        <w:rPr>
          <w:rFonts w:ascii="Times New Roman" w:hAnsi="Times New Roman" w:cs="Times New Roman"/>
          <w:color w:val="000000" w:themeColor="text1"/>
        </w:rPr>
      </w:pPr>
      <w:r>
        <w:rPr>
          <w:rFonts w:ascii="Times New Roman" w:hAnsi="Times New Roman" w:cs="Times New Roman"/>
          <w:color w:val="000000" w:themeColor="text1"/>
        </w:rPr>
        <w:t>评估区内无居民居住，无重要的交通要道及建筑设施，远离自然保护区及旅游景点，周边无重要水源地，对耕地和林地产生了破坏。根据评估区重要程度分级表（表3-2），确定本评估区重要程度为重要区。</w:t>
      </w:r>
    </w:p>
    <w:p w14:paraId="322F45B2">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表3-2评估区重要程度分级表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3019"/>
        <w:gridCol w:w="3061"/>
        <w:gridCol w:w="3020"/>
      </w:tblGrid>
      <w:tr w14:paraId="7E92C1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trPr>
        <w:tc>
          <w:tcPr>
            <w:tcW w:w="2827" w:type="dxa"/>
            <w:vAlign w:val="center"/>
          </w:tcPr>
          <w:p w14:paraId="18D2A3B8">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重要区</w:t>
            </w:r>
          </w:p>
        </w:tc>
        <w:tc>
          <w:tcPr>
            <w:tcW w:w="2867" w:type="dxa"/>
            <w:vAlign w:val="center"/>
          </w:tcPr>
          <w:p w14:paraId="74D09E2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较重要区</w:t>
            </w:r>
          </w:p>
        </w:tc>
        <w:tc>
          <w:tcPr>
            <w:tcW w:w="2828" w:type="dxa"/>
            <w:vAlign w:val="center"/>
          </w:tcPr>
          <w:p w14:paraId="61EA4AD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一般区</w:t>
            </w:r>
          </w:p>
        </w:tc>
      </w:tr>
      <w:tr w14:paraId="4B84ADE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52C8164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分布有500人以上的居民集中居住区</w:t>
            </w:r>
          </w:p>
        </w:tc>
        <w:tc>
          <w:tcPr>
            <w:tcW w:w="2867" w:type="dxa"/>
            <w:vAlign w:val="center"/>
          </w:tcPr>
          <w:p w14:paraId="5850D7A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分布有200～500人的居民集中居住区</w:t>
            </w:r>
          </w:p>
        </w:tc>
        <w:tc>
          <w:tcPr>
            <w:tcW w:w="2828" w:type="dxa"/>
            <w:vAlign w:val="center"/>
          </w:tcPr>
          <w:p w14:paraId="134310FD">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居民居住分散，居民集中居住区人口在200人以下</w:t>
            </w:r>
          </w:p>
        </w:tc>
      </w:tr>
      <w:tr w14:paraId="1C2F231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117B08C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分布有高速公路、一级公路、铁路、中型以上水利、电力工程及其它重要建筑设施</w:t>
            </w:r>
          </w:p>
        </w:tc>
        <w:tc>
          <w:tcPr>
            <w:tcW w:w="2867" w:type="dxa"/>
            <w:vAlign w:val="center"/>
          </w:tcPr>
          <w:p w14:paraId="18DEE88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分布有二级公路、小型水利、电力工程或其它较重要建筑设施</w:t>
            </w:r>
          </w:p>
        </w:tc>
        <w:tc>
          <w:tcPr>
            <w:tcW w:w="2828" w:type="dxa"/>
            <w:vAlign w:val="center"/>
          </w:tcPr>
          <w:p w14:paraId="7C338BA0">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无重要交通要道或建筑设施</w:t>
            </w:r>
          </w:p>
        </w:tc>
      </w:tr>
      <w:tr w14:paraId="7520495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72554B7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矿区紧邻国家自然保护区（含地质公园、风景名胜区等）或重要旅游景区（点）</w:t>
            </w:r>
          </w:p>
        </w:tc>
        <w:tc>
          <w:tcPr>
            <w:tcW w:w="2867" w:type="dxa"/>
            <w:vAlign w:val="center"/>
          </w:tcPr>
          <w:p w14:paraId="795A21A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紧邻省级、县级自然保护区或重要旅游景区（点）</w:t>
            </w:r>
          </w:p>
        </w:tc>
        <w:tc>
          <w:tcPr>
            <w:tcW w:w="2828" w:type="dxa"/>
            <w:vAlign w:val="center"/>
          </w:tcPr>
          <w:p w14:paraId="505730D2">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远离各级自然保护区及旅游景区（点）</w:t>
            </w:r>
          </w:p>
        </w:tc>
      </w:tr>
      <w:tr w14:paraId="194E10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1C53F92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有重要水源地</w:t>
            </w:r>
          </w:p>
        </w:tc>
        <w:tc>
          <w:tcPr>
            <w:tcW w:w="2867" w:type="dxa"/>
            <w:vAlign w:val="center"/>
          </w:tcPr>
          <w:p w14:paraId="5CED6F8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有较重要水源地</w:t>
            </w:r>
          </w:p>
        </w:tc>
        <w:tc>
          <w:tcPr>
            <w:tcW w:w="2828" w:type="dxa"/>
            <w:vAlign w:val="center"/>
          </w:tcPr>
          <w:p w14:paraId="0ADF8869">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无较重要水源地</w:t>
            </w:r>
          </w:p>
        </w:tc>
      </w:tr>
      <w:tr w14:paraId="652E337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4448C546">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破坏耕地</w:t>
            </w:r>
            <w:r>
              <w:rPr>
                <w:rFonts w:ascii="Times New Roman" w:hAnsi="Times New Roman" w:cs="Times New Roman"/>
                <w:bCs/>
                <w:color w:val="000000" w:themeColor="text1"/>
                <w:kern w:val="0"/>
                <w:sz w:val="24"/>
                <w:szCs w:val="24"/>
              </w:rPr>
              <w:t>、园地</w:t>
            </w:r>
          </w:p>
        </w:tc>
        <w:tc>
          <w:tcPr>
            <w:tcW w:w="2867" w:type="dxa"/>
            <w:vAlign w:val="center"/>
          </w:tcPr>
          <w:p w14:paraId="52A15C4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破坏林地、草地</w:t>
            </w:r>
          </w:p>
        </w:tc>
        <w:tc>
          <w:tcPr>
            <w:tcW w:w="2828" w:type="dxa"/>
            <w:vAlign w:val="center"/>
          </w:tcPr>
          <w:p w14:paraId="4B97E36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破坏其它类型土地</w:t>
            </w:r>
          </w:p>
        </w:tc>
      </w:tr>
    </w:tbl>
    <w:p w14:paraId="0847CA2E">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2）矿山生产建设规模</w:t>
      </w:r>
    </w:p>
    <w:p w14:paraId="040B0563">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矿山采用露天开采方式，设计年生产规模</w:t>
      </w:r>
      <w:r>
        <w:rPr>
          <w:rFonts w:hint="eastAsia" w:ascii="Times New Roman" w:hAnsi="Times New Roman" w:cs="Times New Roman"/>
          <w:color w:val="000000" w:themeColor="text1"/>
        </w:rPr>
        <w:t>7.00万</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/年，依据DZ/T0223-2011《矿山地质环境保护与恢复治理方案编制规范》附录 D，确定该矿山生产建设规模为中型矿山。</w:t>
      </w:r>
    </w:p>
    <w:p w14:paraId="4FA8E575">
      <w:pPr>
        <w:pStyle w:val="178"/>
        <w:topLinePunct/>
        <w:rPr>
          <w:rFonts w:ascii="Times New Roman" w:hAnsi="Times New Roman" w:cs="Times New Roman"/>
          <w:color w:val="000000" w:themeColor="text1"/>
        </w:rPr>
      </w:pPr>
      <w:r>
        <w:rPr>
          <w:rFonts w:ascii="Times New Roman" w:hAnsi="Times New Roman" w:cs="Times New Roman"/>
          <w:color w:val="000000" w:themeColor="text1"/>
        </w:rPr>
        <w:t>3）矿山地质环境条件复杂程度</w:t>
      </w:r>
    </w:p>
    <w:p w14:paraId="2C3608B6">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根据报告前文叙述可知，评估区水文地质条件简单；矿床地层属以坚硬岩石为主层状的工程地质条件简单的矿床；采场面积及采坑深度较大，</w:t>
      </w:r>
      <w:r>
        <w:rPr>
          <w:rFonts w:ascii="Times New Roman" w:hAnsi="Times New Roman" w:cs="Times New Roman"/>
          <w:color w:val="E36C09" w:themeColor="accent6" w:themeShade="BF"/>
          <w:highlight w:val="none"/>
        </w:rPr>
        <w:t>边坡较不稳定，较易产生地质灾害</w:t>
      </w:r>
      <w:r>
        <w:rPr>
          <w:rFonts w:hint="eastAsia" w:ascii="Times New Roman" w:hAnsi="Times New Roman" w:cs="Times New Roman"/>
          <w:color w:val="E36C09" w:themeColor="accent6" w:themeShade="BF"/>
          <w:highlight w:val="none"/>
          <w:lang w:eastAsia="zh-CN"/>
        </w:rPr>
        <w:t>。</w:t>
      </w:r>
      <w:r>
        <w:rPr>
          <w:rFonts w:ascii="Times New Roman" w:hAnsi="Times New Roman" w:cs="Times New Roman"/>
          <w:color w:val="000000" w:themeColor="text1"/>
        </w:rPr>
        <w:t>根据《</w:t>
      </w:r>
      <w:bookmarkStart w:id="22" w:name="OLE_LINK8"/>
      <w:bookmarkStart w:id="23" w:name="OLE_LINK7"/>
      <w:r>
        <w:rPr>
          <w:rFonts w:ascii="Times New Roman" w:hAnsi="Times New Roman" w:cs="Times New Roman"/>
          <w:color w:val="000000" w:themeColor="text1"/>
        </w:rPr>
        <w:t>矿山地质环境保护与恢复治理方案编制规范</w:t>
      </w:r>
      <w:bookmarkEnd w:id="22"/>
      <w:bookmarkEnd w:id="23"/>
      <w:r>
        <w:rPr>
          <w:rFonts w:ascii="Times New Roman" w:hAnsi="Times New Roman" w:cs="Times New Roman"/>
          <w:color w:val="000000" w:themeColor="text1"/>
        </w:rPr>
        <w:t>》中矿山地质环境条件复杂程度分级表，确定评估区地质环境复杂程度为中等。露天开采矿山地质环境条件复杂程度分级情况见表3-3。</w:t>
      </w:r>
      <w:bookmarkStart w:id="24" w:name="OLE_LINK10"/>
      <w:bookmarkStart w:id="25" w:name="OLE_LINK9"/>
    </w:p>
    <w:p w14:paraId="25DB7016">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表3-3 露天开采矿山地质环境条件复杂程度分级表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3163"/>
        <w:gridCol w:w="3056"/>
        <w:gridCol w:w="2881"/>
      </w:tblGrid>
      <w:tr w14:paraId="0D2B69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trPr>
        <w:tc>
          <w:tcPr>
            <w:tcW w:w="2962" w:type="dxa"/>
            <w:vAlign w:val="center"/>
          </w:tcPr>
          <w:p w14:paraId="3E1D6B51">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复杂</w:t>
            </w:r>
          </w:p>
        </w:tc>
        <w:tc>
          <w:tcPr>
            <w:tcW w:w="2862" w:type="dxa"/>
            <w:vAlign w:val="center"/>
          </w:tcPr>
          <w:p w14:paraId="1ED0251B">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中等</w:t>
            </w:r>
          </w:p>
        </w:tc>
        <w:tc>
          <w:tcPr>
            <w:tcW w:w="2698" w:type="dxa"/>
            <w:vAlign w:val="center"/>
          </w:tcPr>
          <w:p w14:paraId="2CC8931B">
            <w:pPr>
              <w:widowControl/>
              <w:topLinePunct/>
              <w:snapToGrid w:val="0"/>
              <w:spacing w:line="240" w:lineRule="auto"/>
              <w:jc w:val="center"/>
              <w:rPr>
                <w:rFonts w:ascii="Times New Roman" w:hAnsi="Times New Roman" w:cs="Times New Roman"/>
                <w:bCs/>
                <w:color w:val="000000" w:themeColor="text1"/>
                <w:kern w:val="0"/>
                <w:sz w:val="24"/>
                <w:szCs w:val="24"/>
              </w:rPr>
            </w:pPr>
            <w:r>
              <w:rPr>
                <w:rFonts w:ascii="Times New Roman" w:hAnsi="Times New Roman" w:cs="Times New Roman"/>
                <w:bCs/>
                <w:color w:val="000000" w:themeColor="text1"/>
                <w:kern w:val="0"/>
                <w:sz w:val="24"/>
                <w:szCs w:val="24"/>
              </w:rPr>
              <w:t>简单</w:t>
            </w:r>
          </w:p>
        </w:tc>
      </w:tr>
      <w:tr w14:paraId="317616C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79056F2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采场矿层（体）位于地下水位以下，采场汇水面积大，采场进水边界条件复杂，与区域含水层或地表水联系密切，地下水补给、径流条件好，采场正常涌水量大于10000</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r>
              <w:rPr>
                <w:rFonts w:ascii="Times New Roman" w:hAnsi="Times New Roman" w:cs="Times New Roman"/>
                <w:color w:val="000000" w:themeColor="text1"/>
                <w:kern w:val="0"/>
                <w:sz w:val="24"/>
                <w:szCs w:val="24"/>
              </w:rPr>
              <w:t>/d；采矿活动和疏干排水容易导致区域主要含水层破坏</w:t>
            </w:r>
          </w:p>
        </w:tc>
        <w:tc>
          <w:tcPr>
            <w:tcW w:w="2862" w:type="dxa"/>
          </w:tcPr>
          <w:p w14:paraId="0BC2672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采场矿层（体）局部位于地下水位以下，采场汇水面积较大，与区域含水层或地表水联系较密切，采场正常涌水量3000～10000</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r>
              <w:rPr>
                <w:rFonts w:ascii="Times New Roman" w:hAnsi="Times New Roman" w:cs="Times New Roman"/>
                <w:color w:val="000000" w:themeColor="text1"/>
                <w:kern w:val="0"/>
                <w:sz w:val="24"/>
                <w:szCs w:val="24"/>
              </w:rPr>
              <w:t>/d；采矿和疏干排水比较容易导致矿区周围主要含水层影响或破坏</w:t>
            </w:r>
          </w:p>
        </w:tc>
        <w:tc>
          <w:tcPr>
            <w:tcW w:w="2698" w:type="dxa"/>
          </w:tcPr>
          <w:p w14:paraId="6E29423C">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采场矿层（体）位于地下水位以上，采场汇水面积小，与区域含水层、或地表水联系不密切，采场正常涌水量小于3000</w:t>
            </w:r>
            <w:r>
              <w:rPr>
                <w:rFonts w:hint="eastAsia" w:ascii="Times New Roman" w:hAnsi="Times New Roman" w:cs="Times New Roman"/>
                <w:b/>
                <w:color w:val="000000" w:themeColor="text1"/>
                <w:kern w:val="0"/>
                <w:sz w:val="24"/>
                <w:szCs w:val="24"/>
                <w:lang w:eastAsia="zh-CN"/>
              </w:rPr>
              <w:t>m</w:t>
            </w:r>
            <w:r>
              <w:rPr>
                <w:rFonts w:hint="eastAsia" w:ascii="Times New Roman" w:hAnsi="Times New Roman" w:cs="Times New Roman"/>
                <w:b/>
                <w:strike w:val="0"/>
                <w:dstrike w:val="0"/>
                <w:color w:val="000000" w:themeColor="text1"/>
                <w:kern w:val="0"/>
                <w:sz w:val="24"/>
                <w:szCs w:val="24"/>
                <w:vertAlign w:val="superscript"/>
                <w:lang w:eastAsia="zh-CN"/>
              </w:rPr>
              <w:t>3</w:t>
            </w:r>
            <w:r>
              <w:rPr>
                <w:rFonts w:ascii="Times New Roman" w:hAnsi="Times New Roman" w:cs="Times New Roman"/>
                <w:b/>
                <w:color w:val="000000" w:themeColor="text1"/>
                <w:kern w:val="0"/>
                <w:sz w:val="24"/>
                <w:szCs w:val="24"/>
              </w:rPr>
              <w:t>/d；采矿和疏干排水不易导致矿区周围主要含水层的影响或破坏</w:t>
            </w:r>
          </w:p>
        </w:tc>
      </w:tr>
      <w:tr w14:paraId="1D34D3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231F90B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矿床围岩岩体结构以碎裂结构、散体结构为主，软弱结构面、不良工程地质层发育，存在饱水软弱岩层或松散软弱岩层，含水砂层多，分布广，残坡积层、基岩风化破碎带厚度大于10m、稳固性差，采场岩石边坡风化破碎或土层松软，边坡外倾软弱结构面或危岩发育，易导致边坡失稳</w:t>
            </w:r>
          </w:p>
        </w:tc>
        <w:tc>
          <w:tcPr>
            <w:tcW w:w="2862" w:type="dxa"/>
          </w:tcPr>
          <w:p w14:paraId="156A690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矿床围岩岩体结构以薄到厚层状结构为主，软弱结构面、不良工程地质层发育中等，存在饱水软弱岩层和含水砂层，残坡积层、基岩风化破碎带厚度5～10m、稳固性较差，采场边坡岩石风化较破碎，边坡存在外倾软弱结构面或危岩，局部可能产生边坡失稳</w:t>
            </w:r>
          </w:p>
        </w:tc>
        <w:tc>
          <w:tcPr>
            <w:tcW w:w="2698" w:type="dxa"/>
          </w:tcPr>
          <w:p w14:paraId="00085BB5">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矿床围岩岩体结构以巨厚层状-块状整体结构为主，软弱结构面、不良工程地质层不发育，残坡积层、基岩风化破碎带厚度小于5m、稳固性较好，采场边坡岩石较完整到完整，土层薄，边坡基本不存在外倾软弱结构面或危岩，边坡较稳定</w:t>
            </w:r>
          </w:p>
        </w:tc>
      </w:tr>
      <w:tr w14:paraId="17B5D1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36DF6E1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地质构造复杂。矿床围岩岩层产状变化大，断裂构造发育或有全新世活动断裂，导水断裂切割矿层（体）围岩、覆岩和主要含水层（带）或沟通地表水体，导水性强，对采场充水影响大</w:t>
            </w:r>
          </w:p>
        </w:tc>
        <w:tc>
          <w:tcPr>
            <w:tcW w:w="2862" w:type="dxa"/>
          </w:tcPr>
          <w:p w14:paraId="7F03925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地质构造较复杂。矿床围岩岩层产状变化较大，断裂构造较发育，切割矿层（体）围岩、覆岩和含水层（带），导水性差，对采场充水影响较大</w:t>
            </w:r>
          </w:p>
        </w:tc>
        <w:tc>
          <w:tcPr>
            <w:tcW w:w="2698" w:type="dxa"/>
          </w:tcPr>
          <w:p w14:paraId="036DE218">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地质构造较简单。矿床围岩岩层产状变化小，断裂构造较不发育，断裂未切割矿层（体）围岩、覆岩，对采场充水影响小</w:t>
            </w:r>
          </w:p>
        </w:tc>
      </w:tr>
      <w:tr w14:paraId="04E593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1A73BAE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现状条件下原生地质灾害发育，或矿山地质环境问题的类型多、危害大</w:t>
            </w:r>
          </w:p>
        </w:tc>
        <w:tc>
          <w:tcPr>
            <w:tcW w:w="2862" w:type="dxa"/>
          </w:tcPr>
          <w:p w14:paraId="32C427D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现状条件下，矿山地质环境问题的类型较多、危害较大</w:t>
            </w:r>
          </w:p>
        </w:tc>
        <w:tc>
          <w:tcPr>
            <w:tcW w:w="2698" w:type="dxa"/>
          </w:tcPr>
          <w:p w14:paraId="69648769">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现状条件下，矿山地质环境问题的类型少、危害小</w:t>
            </w:r>
          </w:p>
        </w:tc>
      </w:tr>
      <w:tr w14:paraId="2A393C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1752F7F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采场面积及采坑深度大，边坡不稳定易产生地质灾害</w:t>
            </w:r>
          </w:p>
        </w:tc>
        <w:tc>
          <w:tcPr>
            <w:tcW w:w="2862" w:type="dxa"/>
          </w:tcPr>
          <w:p w14:paraId="7F2C2C51">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采场面积及采坑深度较大，</w:t>
            </w:r>
            <w:r>
              <w:rPr>
                <w:rFonts w:ascii="Times New Roman" w:hAnsi="Times New Roman" w:cs="Times New Roman"/>
                <w:b/>
                <w:bCs/>
                <w:color w:val="E36C09" w:themeColor="accent6" w:themeShade="BF"/>
                <w:kern w:val="0"/>
                <w:sz w:val="24"/>
                <w:szCs w:val="24"/>
              </w:rPr>
              <w:t>边坡较不稳定，较易产生地质灾害</w:t>
            </w:r>
          </w:p>
        </w:tc>
        <w:tc>
          <w:tcPr>
            <w:tcW w:w="2698" w:type="dxa"/>
          </w:tcPr>
          <w:p w14:paraId="501F22BC">
            <w:pPr>
              <w:widowControl/>
              <w:topLinePunct/>
              <w:snapToGrid w:val="0"/>
              <w:spacing w:line="240" w:lineRule="auto"/>
              <w:jc w:val="center"/>
              <w:rPr>
                <w:rFonts w:ascii="Times New Roman" w:hAnsi="Times New Roman" w:cs="Times New Roman"/>
                <w:bCs/>
                <w:color w:val="000000" w:themeColor="text1"/>
                <w:kern w:val="0"/>
                <w:sz w:val="24"/>
                <w:szCs w:val="24"/>
              </w:rPr>
            </w:pPr>
            <w:r>
              <w:rPr>
                <w:rFonts w:ascii="Times New Roman" w:hAnsi="Times New Roman" w:cs="Times New Roman"/>
                <w:bCs/>
                <w:color w:val="000000" w:themeColor="text1"/>
                <w:kern w:val="0"/>
                <w:sz w:val="24"/>
                <w:szCs w:val="24"/>
              </w:rPr>
              <w:t>采场面积及采坑深度小，边坡较稳定，不易产生地质灾害</w:t>
            </w:r>
          </w:p>
        </w:tc>
      </w:tr>
      <w:tr w14:paraId="53CBFD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3E0F546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地貌单元类型多，微地貌形态复杂，地形起伏变化大，不利于自然排水，地形坡度一般大于35°，相对高差大，高坡方向岩层倾向与采坑斜坡多为同向</w:t>
            </w:r>
          </w:p>
        </w:tc>
        <w:tc>
          <w:tcPr>
            <w:tcW w:w="2862" w:type="dxa"/>
          </w:tcPr>
          <w:p w14:paraId="76F5033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地貌单元类型较多，微地貌形态较复杂，地形起伏变化中等，自然排水条件一般，地形坡度一般20°～35°，相对高差较大，高坡方向岩层倾向与采坑斜坡多为斜交</w:t>
            </w:r>
          </w:p>
        </w:tc>
        <w:tc>
          <w:tcPr>
            <w:tcW w:w="2698" w:type="dxa"/>
          </w:tcPr>
          <w:p w14:paraId="6D59E843">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地貌单元类型单一，微地貌形态简单，地形较平缓，有利于自然排水，地形坡度一般小于20°，相对高差较小，高坡方向岩层倾向与采坑斜坡多为反向坡</w:t>
            </w:r>
          </w:p>
        </w:tc>
      </w:tr>
      <w:tr w14:paraId="163B29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8522" w:type="dxa"/>
            <w:gridSpan w:val="3"/>
          </w:tcPr>
          <w:p w14:paraId="0481BD9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注：采取就上原则，只有一条满足某一级别，应定为该级别。</w:t>
            </w:r>
          </w:p>
        </w:tc>
      </w:tr>
      <w:bookmarkEnd w:id="24"/>
      <w:bookmarkEnd w:id="25"/>
    </w:tbl>
    <w:p w14:paraId="743648C7">
      <w:pPr>
        <w:pStyle w:val="178"/>
        <w:topLinePunct/>
        <w:rPr>
          <w:rFonts w:ascii="Times New Roman" w:hAnsi="Times New Roman" w:cs="Times New Roman"/>
          <w:color w:val="000000" w:themeColor="text1"/>
        </w:rPr>
      </w:pPr>
      <w:r>
        <w:rPr>
          <w:rFonts w:ascii="Times New Roman" w:hAnsi="Times New Roman" w:cs="Times New Roman"/>
          <w:color w:val="000000" w:themeColor="text1"/>
        </w:rPr>
        <w:t>4）评估级别的确定</w:t>
      </w:r>
    </w:p>
    <w:p w14:paraId="1ED5B64E">
      <w:pPr>
        <w:pStyle w:val="178"/>
        <w:topLinePunct/>
        <w:rPr>
          <w:rFonts w:ascii="Times New Roman" w:hAnsi="Times New Roman" w:cs="Times New Roman"/>
          <w:color w:val="000000" w:themeColor="text1"/>
        </w:rPr>
      </w:pPr>
      <w:r>
        <w:rPr>
          <w:rFonts w:ascii="Times New Roman" w:hAnsi="Times New Roman" w:cs="Times New Roman"/>
          <w:color w:val="000000" w:themeColor="text1"/>
        </w:rPr>
        <w:t>评估区为重要区，矿山建设规模为中型，矿山地质环境条件复杂程度为中等，根据《矿山地质环境保护与恢复治理方案编制规范》中矿山地质环境影响程度分级表确定本项目评估等级为一级，矿山地质环境影响评估分级情况见表3-4。</w:t>
      </w:r>
    </w:p>
    <w:p w14:paraId="49406CD5">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表3-4 矿山地质环境影响评估分级表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908"/>
        <w:gridCol w:w="1942"/>
        <w:gridCol w:w="1671"/>
        <w:gridCol w:w="1806"/>
        <w:gridCol w:w="1773"/>
      </w:tblGrid>
      <w:tr w14:paraId="61DB83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restart"/>
            <w:vAlign w:val="center"/>
          </w:tcPr>
          <w:p w14:paraId="49E1F66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评估区重要程度</w:t>
            </w:r>
          </w:p>
        </w:tc>
        <w:tc>
          <w:tcPr>
            <w:tcW w:w="1942" w:type="dxa"/>
            <w:vMerge w:val="restart"/>
            <w:vAlign w:val="center"/>
          </w:tcPr>
          <w:p w14:paraId="34F5DB9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矿山生产建设规模</w:t>
            </w:r>
          </w:p>
        </w:tc>
        <w:tc>
          <w:tcPr>
            <w:tcW w:w="5250" w:type="dxa"/>
            <w:gridSpan w:val="3"/>
            <w:vAlign w:val="center"/>
          </w:tcPr>
          <w:p w14:paraId="11779D7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地质环境条件复杂程度</w:t>
            </w:r>
          </w:p>
        </w:tc>
      </w:tr>
      <w:tr w14:paraId="76F7BF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26B6D821">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42" w:type="dxa"/>
            <w:vMerge w:val="continue"/>
            <w:vAlign w:val="center"/>
          </w:tcPr>
          <w:p w14:paraId="65B7BC82">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671" w:type="dxa"/>
            <w:vAlign w:val="center"/>
          </w:tcPr>
          <w:p w14:paraId="7F7CC0A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复杂</w:t>
            </w:r>
          </w:p>
        </w:tc>
        <w:tc>
          <w:tcPr>
            <w:tcW w:w="1806" w:type="dxa"/>
            <w:vAlign w:val="center"/>
          </w:tcPr>
          <w:p w14:paraId="245A0BBC">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中等</w:t>
            </w:r>
          </w:p>
        </w:tc>
        <w:tc>
          <w:tcPr>
            <w:tcW w:w="1773" w:type="dxa"/>
            <w:vAlign w:val="center"/>
          </w:tcPr>
          <w:p w14:paraId="2DD0466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简单</w:t>
            </w:r>
          </w:p>
        </w:tc>
      </w:tr>
      <w:tr w14:paraId="03FAF8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restart"/>
            <w:vAlign w:val="center"/>
          </w:tcPr>
          <w:p w14:paraId="485471F1">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重要区</w:t>
            </w:r>
          </w:p>
        </w:tc>
        <w:tc>
          <w:tcPr>
            <w:tcW w:w="1942" w:type="dxa"/>
            <w:vAlign w:val="center"/>
          </w:tcPr>
          <w:p w14:paraId="172A954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大型</w:t>
            </w:r>
          </w:p>
        </w:tc>
        <w:tc>
          <w:tcPr>
            <w:tcW w:w="1671" w:type="dxa"/>
            <w:vAlign w:val="center"/>
          </w:tcPr>
          <w:p w14:paraId="5458906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w:t>
            </w:r>
          </w:p>
        </w:tc>
        <w:tc>
          <w:tcPr>
            <w:tcW w:w="1806" w:type="dxa"/>
            <w:vAlign w:val="center"/>
          </w:tcPr>
          <w:p w14:paraId="1D0710E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w:t>
            </w:r>
          </w:p>
        </w:tc>
        <w:tc>
          <w:tcPr>
            <w:tcW w:w="1773" w:type="dxa"/>
            <w:vAlign w:val="center"/>
          </w:tcPr>
          <w:p w14:paraId="18A66EA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w:t>
            </w:r>
          </w:p>
        </w:tc>
      </w:tr>
      <w:tr w14:paraId="30A4D2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2705E7F1">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42" w:type="dxa"/>
            <w:vAlign w:val="center"/>
          </w:tcPr>
          <w:p w14:paraId="3CE96299">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中型</w:t>
            </w:r>
          </w:p>
        </w:tc>
        <w:tc>
          <w:tcPr>
            <w:tcW w:w="1671" w:type="dxa"/>
            <w:vAlign w:val="center"/>
          </w:tcPr>
          <w:p w14:paraId="12E8132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w:t>
            </w:r>
          </w:p>
        </w:tc>
        <w:tc>
          <w:tcPr>
            <w:tcW w:w="1806" w:type="dxa"/>
            <w:vAlign w:val="center"/>
          </w:tcPr>
          <w:p w14:paraId="4BBAEAD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b/>
                <w:bCs/>
                <w:color w:val="000000" w:themeColor="text1"/>
                <w:kern w:val="0"/>
                <w:sz w:val="24"/>
                <w:szCs w:val="24"/>
              </w:rPr>
              <w:t>一级</w:t>
            </w:r>
          </w:p>
        </w:tc>
        <w:tc>
          <w:tcPr>
            <w:tcW w:w="1773" w:type="dxa"/>
            <w:vAlign w:val="center"/>
          </w:tcPr>
          <w:p w14:paraId="42045415">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color w:val="000000" w:themeColor="text1"/>
                <w:kern w:val="0"/>
                <w:sz w:val="24"/>
                <w:szCs w:val="24"/>
              </w:rPr>
              <w:t>一级</w:t>
            </w:r>
          </w:p>
        </w:tc>
      </w:tr>
      <w:tr w14:paraId="000C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56E0BFE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42" w:type="dxa"/>
            <w:vAlign w:val="center"/>
          </w:tcPr>
          <w:p w14:paraId="2478A3B6">
            <w:pPr>
              <w:widowControl/>
              <w:topLinePunct/>
              <w:snapToGrid w:val="0"/>
              <w:spacing w:line="240" w:lineRule="auto"/>
              <w:jc w:val="center"/>
              <w:rPr>
                <w:rFonts w:ascii="Times New Roman" w:hAnsi="Times New Roman" w:cs="Times New Roman"/>
                <w:bCs/>
                <w:color w:val="000000" w:themeColor="text1"/>
                <w:kern w:val="0"/>
                <w:sz w:val="24"/>
                <w:szCs w:val="24"/>
              </w:rPr>
            </w:pPr>
            <w:r>
              <w:rPr>
                <w:rFonts w:ascii="Times New Roman" w:hAnsi="Times New Roman" w:cs="Times New Roman"/>
                <w:bCs/>
                <w:color w:val="000000" w:themeColor="text1"/>
                <w:kern w:val="0"/>
                <w:sz w:val="24"/>
                <w:szCs w:val="24"/>
              </w:rPr>
              <w:t>小型</w:t>
            </w:r>
          </w:p>
        </w:tc>
        <w:tc>
          <w:tcPr>
            <w:tcW w:w="1671" w:type="dxa"/>
            <w:vAlign w:val="center"/>
          </w:tcPr>
          <w:p w14:paraId="404599D9">
            <w:pPr>
              <w:widowControl/>
              <w:topLinePunct/>
              <w:snapToGrid w:val="0"/>
              <w:spacing w:line="240" w:lineRule="auto"/>
              <w:jc w:val="center"/>
              <w:rPr>
                <w:rFonts w:ascii="Times New Roman" w:hAnsi="Times New Roman" w:cs="Times New Roman"/>
                <w:bCs/>
                <w:color w:val="000000" w:themeColor="text1"/>
                <w:kern w:val="0"/>
                <w:sz w:val="24"/>
                <w:szCs w:val="24"/>
              </w:rPr>
            </w:pPr>
            <w:r>
              <w:rPr>
                <w:rFonts w:ascii="Times New Roman" w:hAnsi="Times New Roman" w:cs="Times New Roman"/>
                <w:bCs/>
                <w:color w:val="000000" w:themeColor="text1"/>
                <w:kern w:val="0"/>
                <w:sz w:val="24"/>
                <w:szCs w:val="24"/>
              </w:rPr>
              <w:t>一级</w:t>
            </w:r>
          </w:p>
        </w:tc>
        <w:tc>
          <w:tcPr>
            <w:tcW w:w="1806" w:type="dxa"/>
            <w:vAlign w:val="center"/>
          </w:tcPr>
          <w:p w14:paraId="10F06C2C">
            <w:pPr>
              <w:widowControl/>
              <w:topLinePunct/>
              <w:snapToGrid w:val="0"/>
              <w:spacing w:line="240" w:lineRule="auto"/>
              <w:jc w:val="center"/>
              <w:rPr>
                <w:rFonts w:ascii="Times New Roman" w:hAnsi="Times New Roman" w:cs="Times New Roman"/>
                <w:bCs/>
                <w:color w:val="000000" w:themeColor="text1"/>
                <w:kern w:val="0"/>
                <w:sz w:val="24"/>
                <w:szCs w:val="24"/>
              </w:rPr>
            </w:pPr>
            <w:r>
              <w:rPr>
                <w:rFonts w:ascii="Times New Roman" w:hAnsi="Times New Roman" w:cs="Times New Roman"/>
                <w:bCs/>
                <w:color w:val="000000" w:themeColor="text1"/>
                <w:kern w:val="0"/>
                <w:sz w:val="24"/>
                <w:szCs w:val="24"/>
              </w:rPr>
              <w:t>一级</w:t>
            </w:r>
          </w:p>
        </w:tc>
        <w:tc>
          <w:tcPr>
            <w:tcW w:w="1773" w:type="dxa"/>
            <w:vAlign w:val="center"/>
          </w:tcPr>
          <w:p w14:paraId="35D68938">
            <w:pPr>
              <w:widowControl/>
              <w:topLinePunct/>
              <w:snapToGrid w:val="0"/>
              <w:spacing w:line="240" w:lineRule="auto"/>
              <w:jc w:val="center"/>
              <w:rPr>
                <w:rFonts w:ascii="Times New Roman" w:hAnsi="Times New Roman" w:cs="Times New Roman"/>
                <w:bCs/>
                <w:color w:val="000000" w:themeColor="text1"/>
                <w:kern w:val="0"/>
                <w:sz w:val="24"/>
                <w:szCs w:val="24"/>
              </w:rPr>
            </w:pPr>
            <w:r>
              <w:rPr>
                <w:rFonts w:ascii="Times New Roman" w:hAnsi="Times New Roman" w:cs="Times New Roman"/>
                <w:bCs/>
                <w:color w:val="000000" w:themeColor="text1"/>
                <w:kern w:val="0"/>
                <w:sz w:val="24"/>
                <w:szCs w:val="24"/>
              </w:rPr>
              <w:t>二级</w:t>
            </w:r>
          </w:p>
        </w:tc>
      </w:tr>
      <w:tr w14:paraId="70F622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restart"/>
            <w:vAlign w:val="center"/>
          </w:tcPr>
          <w:p w14:paraId="530BC1C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较重要区</w:t>
            </w:r>
          </w:p>
        </w:tc>
        <w:tc>
          <w:tcPr>
            <w:tcW w:w="1942" w:type="dxa"/>
            <w:vAlign w:val="center"/>
          </w:tcPr>
          <w:p w14:paraId="18FEBF6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大型</w:t>
            </w:r>
          </w:p>
        </w:tc>
        <w:tc>
          <w:tcPr>
            <w:tcW w:w="1671" w:type="dxa"/>
            <w:vAlign w:val="center"/>
          </w:tcPr>
          <w:p w14:paraId="5978A53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w:t>
            </w:r>
          </w:p>
        </w:tc>
        <w:tc>
          <w:tcPr>
            <w:tcW w:w="1806" w:type="dxa"/>
            <w:vAlign w:val="center"/>
          </w:tcPr>
          <w:p w14:paraId="3BC4C14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w:t>
            </w:r>
          </w:p>
        </w:tc>
        <w:tc>
          <w:tcPr>
            <w:tcW w:w="1773" w:type="dxa"/>
            <w:vAlign w:val="center"/>
          </w:tcPr>
          <w:p w14:paraId="0A6C139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w:t>
            </w:r>
          </w:p>
        </w:tc>
      </w:tr>
      <w:tr w14:paraId="1B118C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6BA18C21">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42" w:type="dxa"/>
            <w:vAlign w:val="center"/>
          </w:tcPr>
          <w:p w14:paraId="12FA767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中型</w:t>
            </w:r>
          </w:p>
        </w:tc>
        <w:tc>
          <w:tcPr>
            <w:tcW w:w="1671" w:type="dxa"/>
            <w:vAlign w:val="center"/>
          </w:tcPr>
          <w:p w14:paraId="7B484BB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w:t>
            </w:r>
          </w:p>
        </w:tc>
        <w:tc>
          <w:tcPr>
            <w:tcW w:w="1806" w:type="dxa"/>
            <w:vAlign w:val="center"/>
          </w:tcPr>
          <w:p w14:paraId="0D965E3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w:t>
            </w:r>
          </w:p>
        </w:tc>
        <w:tc>
          <w:tcPr>
            <w:tcW w:w="1773" w:type="dxa"/>
            <w:vAlign w:val="center"/>
          </w:tcPr>
          <w:p w14:paraId="33FAAAF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w:t>
            </w:r>
          </w:p>
        </w:tc>
      </w:tr>
      <w:tr w14:paraId="4FD55C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359786BA">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42" w:type="dxa"/>
            <w:vAlign w:val="center"/>
          </w:tcPr>
          <w:p w14:paraId="7B78C2D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小型</w:t>
            </w:r>
          </w:p>
        </w:tc>
        <w:tc>
          <w:tcPr>
            <w:tcW w:w="1671" w:type="dxa"/>
            <w:vAlign w:val="center"/>
          </w:tcPr>
          <w:p w14:paraId="6A57568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w:t>
            </w:r>
          </w:p>
        </w:tc>
        <w:tc>
          <w:tcPr>
            <w:tcW w:w="1806" w:type="dxa"/>
            <w:vAlign w:val="center"/>
          </w:tcPr>
          <w:p w14:paraId="6771C8D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w:t>
            </w:r>
          </w:p>
        </w:tc>
        <w:tc>
          <w:tcPr>
            <w:tcW w:w="1773" w:type="dxa"/>
            <w:vAlign w:val="center"/>
          </w:tcPr>
          <w:p w14:paraId="749E059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三级</w:t>
            </w:r>
          </w:p>
        </w:tc>
      </w:tr>
      <w:tr w14:paraId="28A505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restart"/>
            <w:vAlign w:val="center"/>
          </w:tcPr>
          <w:p w14:paraId="03A3F84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一般区</w:t>
            </w:r>
          </w:p>
        </w:tc>
        <w:tc>
          <w:tcPr>
            <w:tcW w:w="1942" w:type="dxa"/>
            <w:vAlign w:val="center"/>
          </w:tcPr>
          <w:p w14:paraId="01205B4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大型</w:t>
            </w:r>
          </w:p>
        </w:tc>
        <w:tc>
          <w:tcPr>
            <w:tcW w:w="1671" w:type="dxa"/>
            <w:vAlign w:val="center"/>
          </w:tcPr>
          <w:p w14:paraId="390E00B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w:t>
            </w:r>
          </w:p>
        </w:tc>
        <w:tc>
          <w:tcPr>
            <w:tcW w:w="1806" w:type="dxa"/>
            <w:vAlign w:val="center"/>
          </w:tcPr>
          <w:p w14:paraId="4698DCD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w:t>
            </w:r>
          </w:p>
        </w:tc>
        <w:tc>
          <w:tcPr>
            <w:tcW w:w="1773" w:type="dxa"/>
            <w:vAlign w:val="center"/>
          </w:tcPr>
          <w:p w14:paraId="58C5080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w:t>
            </w:r>
          </w:p>
        </w:tc>
      </w:tr>
      <w:tr w14:paraId="3A70C3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4BF05AE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42" w:type="dxa"/>
            <w:vAlign w:val="center"/>
          </w:tcPr>
          <w:p w14:paraId="7392ADB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中型</w:t>
            </w:r>
          </w:p>
        </w:tc>
        <w:tc>
          <w:tcPr>
            <w:tcW w:w="1671" w:type="dxa"/>
            <w:vAlign w:val="center"/>
          </w:tcPr>
          <w:p w14:paraId="547B49A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w:t>
            </w:r>
          </w:p>
        </w:tc>
        <w:tc>
          <w:tcPr>
            <w:tcW w:w="1806" w:type="dxa"/>
            <w:vAlign w:val="center"/>
          </w:tcPr>
          <w:p w14:paraId="6354F05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w:t>
            </w:r>
          </w:p>
        </w:tc>
        <w:tc>
          <w:tcPr>
            <w:tcW w:w="1773" w:type="dxa"/>
            <w:vAlign w:val="center"/>
          </w:tcPr>
          <w:p w14:paraId="32847EC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三级</w:t>
            </w:r>
          </w:p>
        </w:tc>
      </w:tr>
      <w:tr w14:paraId="54AB77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02D28E5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42" w:type="dxa"/>
            <w:vAlign w:val="center"/>
          </w:tcPr>
          <w:p w14:paraId="5F84B6C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小型</w:t>
            </w:r>
          </w:p>
        </w:tc>
        <w:tc>
          <w:tcPr>
            <w:tcW w:w="1671" w:type="dxa"/>
            <w:vAlign w:val="center"/>
          </w:tcPr>
          <w:p w14:paraId="522649B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w:t>
            </w:r>
          </w:p>
        </w:tc>
        <w:tc>
          <w:tcPr>
            <w:tcW w:w="1806" w:type="dxa"/>
            <w:vAlign w:val="center"/>
          </w:tcPr>
          <w:p w14:paraId="23DFEA8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三级</w:t>
            </w:r>
          </w:p>
        </w:tc>
        <w:tc>
          <w:tcPr>
            <w:tcW w:w="1773" w:type="dxa"/>
            <w:vAlign w:val="center"/>
          </w:tcPr>
          <w:p w14:paraId="03AF3EF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三级</w:t>
            </w:r>
          </w:p>
        </w:tc>
      </w:tr>
    </w:tbl>
    <w:p w14:paraId="1220FFA0">
      <w:pPr>
        <w:pStyle w:val="179"/>
        <w:topLinePunct/>
        <w:rPr>
          <w:rFonts w:ascii="Times New Roman" w:hAnsi="Times New Roman" w:cs="Times New Roman"/>
          <w:color w:val="000000" w:themeColor="text1"/>
        </w:rPr>
      </w:pPr>
      <w:r>
        <w:rPr>
          <w:rFonts w:ascii="Times New Roman" w:hAnsi="Times New Roman" w:cs="Times New Roman"/>
          <w:color w:val="000000" w:themeColor="text1"/>
        </w:rPr>
        <w:t>2、现状地质环境问题</w:t>
      </w:r>
    </w:p>
    <w:p w14:paraId="2BC32B53">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（1）地质灾害危险性现状</w:t>
      </w:r>
    </w:p>
    <w:p w14:paraId="3A3D8E4E">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地质灾害是由于自然产生或人为诱发的对人民生命财产安全造成危害的地质作用。地质灾害的发育主要受地区地形地貌及水文工程地质条件等控制，并与人类工程活动有关。</w:t>
      </w:r>
    </w:p>
    <w:p w14:paraId="63C2B14C">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对矿区地质环境背景条件分析及现场实地踏勘的结果，通过对场地地形地貌、气象水文、地层岩性、地质构造和地震、水文地质条件等资料的研究，结合本区地质灾害发育程度，确定评估区现状地质灾害类型为冻土冻融。</w:t>
      </w:r>
    </w:p>
    <w:p w14:paraId="49BDE5D7">
      <w:pPr>
        <w:pStyle w:val="178"/>
        <w:topLinePunct/>
        <w:rPr>
          <w:rFonts w:ascii="Times New Roman" w:hAnsi="Times New Roman" w:cs="Times New Roman"/>
          <w:color w:val="000000" w:themeColor="text1"/>
        </w:rPr>
      </w:pPr>
      <w:r>
        <w:rPr>
          <w:rFonts w:ascii="Times New Roman" w:hAnsi="Times New Roman" w:cs="Times New Roman"/>
          <w:color w:val="000000" w:themeColor="text1"/>
        </w:rPr>
        <w:t>评估区属季风气候，冬夏温差大，有季节性冻土，最大冻土深度约为2.0m左右，由于地表普遍发育第四系残、坡积物—粘性土（夹碎石），粘性土具有弱水性质，冬季水份结晶产生冻胀，春季气温回升，上部融化的冰水下渗速度慢，造成融陷。土体频繁冻融对矿区道路及基础埋深小于冻土深度的建筑物基础稳定性有一定影响。由于评估区含水量不大，土体冻胀性不是很强，评估区内无重要的工程设施和基础设施，且现状无明显冻土冻融现象，目前未造成工程损坏和财产损失，冻土冻融地质灾害弱发育，危害程度轻，危险性小。</w:t>
      </w:r>
    </w:p>
    <w:p w14:paraId="5E8C12A8">
      <w:pPr>
        <w:pStyle w:val="178"/>
        <w:topLinePunct/>
        <w:rPr>
          <w:rFonts w:ascii="Times New Roman" w:hAnsi="Times New Roman" w:cs="Times New Roman"/>
          <w:color w:val="000000" w:themeColor="text1"/>
        </w:rPr>
      </w:pPr>
      <w:r>
        <w:rPr>
          <w:rFonts w:ascii="Times New Roman" w:hAnsi="Times New Roman" w:cs="Times New Roman"/>
          <w:color w:val="000000" w:themeColor="text1"/>
        </w:rPr>
        <w:t>经现场调查，</w:t>
      </w:r>
      <w:r>
        <w:rPr>
          <w:rFonts w:ascii="Times New Roman" w:hAnsi="Times New Roman" w:cs="Times New Roman"/>
          <w:color w:val="E36C09" w:themeColor="accent6" w:themeShade="BF"/>
          <w:sz w:val="32"/>
          <w:szCs w:val="32"/>
          <w:highlight w:val="none"/>
        </w:rPr>
        <w:t>矿区范围内有历史已开采区域，并已存在多年，边坡</w:t>
      </w:r>
      <w:r>
        <w:rPr>
          <w:rFonts w:hint="eastAsia"/>
          <w:color w:val="E36C09" w:themeColor="accent6" w:themeShade="BF"/>
          <w:sz w:val="32"/>
          <w:szCs w:val="32"/>
          <w:highlight w:val="none"/>
        </w:rPr>
        <w:t>较不稳定</w:t>
      </w:r>
      <w:r>
        <w:rPr>
          <w:rFonts w:ascii="Times New Roman" w:hAnsi="Times New Roman" w:cs="Times New Roman"/>
          <w:color w:val="E36C09" w:themeColor="accent6" w:themeShade="BF"/>
          <w:sz w:val="32"/>
          <w:szCs w:val="32"/>
          <w:highlight w:val="none"/>
        </w:rPr>
        <w:t>，</w:t>
      </w:r>
      <w:r>
        <w:rPr>
          <w:rFonts w:hint="eastAsia" w:ascii="Times New Roman" w:hAnsi="Times New Roman" w:cs="Times New Roman"/>
          <w:color w:val="E36C09" w:themeColor="accent6" w:themeShade="BF"/>
          <w:sz w:val="32"/>
          <w:szCs w:val="32"/>
          <w:highlight w:val="none"/>
          <w:lang w:val="en-US" w:eastAsia="zh-CN"/>
        </w:rPr>
        <w:t>但是矿山开采过程中按照开采边坡角60°进行开采，</w:t>
      </w:r>
      <w:r>
        <w:rPr>
          <w:rFonts w:ascii="Times New Roman" w:hAnsi="Times New Roman" w:cs="Times New Roman"/>
          <w:color w:val="E36C09" w:themeColor="accent6" w:themeShade="BF"/>
          <w:sz w:val="32"/>
          <w:szCs w:val="32"/>
          <w:highlight w:val="none"/>
        </w:rPr>
        <w:t>现状未发生崩滑的现象。</w:t>
      </w:r>
    </w:p>
    <w:p w14:paraId="2152D71F">
      <w:pPr>
        <w:pStyle w:val="178"/>
        <w:topLinePunct/>
        <w:rPr>
          <w:rFonts w:ascii="Times New Roman" w:hAnsi="Times New Roman" w:cs="Times New Roman"/>
          <w:color w:val="000000" w:themeColor="text1"/>
        </w:rPr>
      </w:pPr>
      <w:r>
        <w:rPr>
          <w:rFonts w:ascii="Times New Roman" w:hAnsi="Times New Roman" w:cs="Times New Roman"/>
          <w:color w:val="000000" w:themeColor="text1"/>
        </w:rPr>
        <w:t xml:space="preserve">（2）矿区含水层破坏现状 </w:t>
      </w:r>
    </w:p>
    <w:p w14:paraId="0C1709AF">
      <w:pPr>
        <w:pStyle w:val="178"/>
        <w:topLinePunct/>
        <w:rPr>
          <w:rFonts w:ascii="Times New Roman" w:hAnsi="Times New Roman" w:cs="Times New Roman"/>
          <w:color w:val="000000" w:themeColor="text1"/>
        </w:rPr>
      </w:pPr>
      <w:r>
        <w:rPr>
          <w:rFonts w:ascii="Times New Roman" w:hAnsi="Times New Roman" w:cs="Times New Roman"/>
          <w:color w:val="000000" w:themeColor="text1"/>
        </w:rPr>
        <w:t>该矿为露天开采，开采的矿体处在最低侵蚀基准面以上，开采地段汇水面积很小，大气降水可通过地表迳流自然排泄，且不会停留。矿区范围内没有较大含水地质体，现状开采条件下采矿活动未对地下水及地表水造成污染，因此，采矿活动对水资源环境影响程度为较轻。</w:t>
      </w:r>
    </w:p>
    <w:p w14:paraId="46FF99A0">
      <w:pPr>
        <w:pStyle w:val="178"/>
        <w:topLinePunct/>
        <w:rPr>
          <w:rFonts w:ascii="Times New Roman" w:hAnsi="Times New Roman" w:cs="Times New Roman"/>
          <w:color w:val="000000" w:themeColor="text1"/>
        </w:rPr>
      </w:pPr>
      <w:r>
        <w:rPr>
          <w:rFonts w:ascii="Times New Roman" w:hAnsi="Times New Roman" w:cs="Times New Roman"/>
          <w:color w:val="000000" w:themeColor="text1"/>
        </w:rPr>
        <w:t>综上可知，现状评估矿业活动对含水层影响较轻。</w:t>
      </w:r>
    </w:p>
    <w:p w14:paraId="417D8A16">
      <w:pPr>
        <w:pStyle w:val="178"/>
        <w:topLinePunct/>
        <w:rPr>
          <w:rFonts w:ascii="Times New Roman" w:hAnsi="Times New Roman" w:cs="Times New Roman"/>
          <w:color w:val="000000" w:themeColor="text1"/>
        </w:rPr>
      </w:pPr>
      <w:r>
        <w:rPr>
          <w:rFonts w:ascii="Times New Roman" w:hAnsi="Times New Roman" w:cs="Times New Roman"/>
          <w:color w:val="000000" w:themeColor="text1"/>
        </w:rPr>
        <w:t>（3）矿区地形地貌景观（地质遗迹、人文景观）破坏</w:t>
      </w:r>
    </w:p>
    <w:p w14:paraId="50F14091">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矿区及周边无自然保护区、旅游景区、人文景观、地质遗迹以及地质公园等，采矿活动对此无影响。</w:t>
      </w:r>
    </w:p>
    <w:p w14:paraId="26C5851E">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开采方式为露天开采，据现场调查，现状矿山活动对地形地貌景观破坏主要为矿区西部和东部历史采区的开挖破坏，历史采矿活动的开挖造成了植被破坏，大面积岩石裸露，破坏了原生地形地貌以及土壤结构，对原生地形地貌景观影响和破坏程度较严重。</w:t>
      </w:r>
    </w:p>
    <w:p w14:paraId="1DC1E0C7">
      <w:pPr>
        <w:pStyle w:val="178"/>
        <w:topLinePunct/>
        <w:rPr>
          <w:rFonts w:ascii="Times New Roman" w:hAnsi="Times New Roman" w:cs="Times New Roman"/>
          <w:color w:val="000000" w:themeColor="text1"/>
        </w:rPr>
      </w:pPr>
      <w:r>
        <w:rPr>
          <w:rFonts w:ascii="Times New Roman" w:hAnsi="Times New Roman" w:cs="Times New Roman"/>
          <w:color w:val="000000" w:themeColor="text1"/>
        </w:rPr>
        <w:t>因此，采矿活动对矿区地形地貌景观的影响较严重。</w:t>
      </w:r>
    </w:p>
    <w:p w14:paraId="6050AFE6">
      <w:pPr>
        <w:pStyle w:val="179"/>
        <w:topLinePunct/>
        <w:rPr>
          <w:rFonts w:ascii="Times New Roman" w:hAnsi="Times New Roman" w:cs="Times New Roman"/>
          <w:color w:val="000000" w:themeColor="text1"/>
        </w:rPr>
      </w:pPr>
      <w:r>
        <w:rPr>
          <w:rFonts w:ascii="Times New Roman" w:hAnsi="Times New Roman" w:cs="Times New Roman"/>
          <w:color w:val="000000" w:themeColor="text1"/>
        </w:rPr>
        <w:t>3、土地损毁问题</w:t>
      </w:r>
    </w:p>
    <w:p w14:paraId="1E8FB0F1">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（1）已损毁土地现状</w:t>
      </w:r>
    </w:p>
    <w:p w14:paraId="0F0D1947">
      <w:pPr>
        <w:pStyle w:val="178"/>
        <w:topLinePunct/>
        <w:rPr>
          <w:rFonts w:ascii="Times New Roman" w:hAnsi="Times New Roman" w:cs="Times New Roman"/>
          <w:bCs/>
          <w:color w:val="000000" w:themeColor="text1"/>
          <w:sz w:val="24"/>
        </w:rPr>
      </w:pPr>
      <w:r>
        <w:rPr>
          <w:rFonts w:ascii="Times New Roman" w:hAnsi="Times New Roman" w:cs="Times New Roman"/>
          <w:color w:val="000000" w:themeColor="text1"/>
        </w:rPr>
        <w:t>根据调查和搜集的材料分析，该矿山生产区主要</w:t>
      </w:r>
      <w:r>
        <w:rPr>
          <w:rFonts w:hint="eastAsia" w:ascii="Times New Roman" w:hAnsi="Times New Roman" w:cs="Times New Roman"/>
          <w:color w:val="000000" w:themeColor="text1"/>
        </w:rPr>
        <w:t>为</w:t>
      </w:r>
      <w:r>
        <w:rPr>
          <w:rFonts w:ascii="Times New Roman" w:hAnsi="Times New Roman" w:cs="Times New Roman"/>
          <w:color w:val="000000" w:themeColor="text1"/>
        </w:rPr>
        <w:t>露天采场，土地损毁方式为露天采场的土地挖损，矿区挖损已损毁土地</w:t>
      </w:r>
      <w:r>
        <w:rPr>
          <w:rFonts w:hint="eastAsia" w:ascii="Times New Roman" w:hAnsi="Times New Roman" w:cs="Times New Roman"/>
          <w:color w:val="000000" w:themeColor="text1"/>
        </w:rPr>
        <w:t>14.73</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hint="eastAsia" w:ascii="Times New Roman" w:hAnsi="Times New Roman" w:cs="Times New Roman"/>
          <w:color w:val="000000" w:themeColor="text1"/>
        </w:rPr>
        <w:t>；</w:t>
      </w:r>
      <w:r>
        <w:rPr>
          <w:rFonts w:ascii="Times New Roman" w:hAnsi="Times New Roman" w:cs="Times New Roman"/>
          <w:color w:val="000000" w:themeColor="text1"/>
        </w:rPr>
        <w:t>排土场压占</w:t>
      </w:r>
      <w:r>
        <w:rPr>
          <w:rFonts w:hint="eastAsia" w:ascii="Times New Roman" w:hAnsi="Times New Roman" w:cs="Times New Roman"/>
          <w:color w:val="000000" w:themeColor="text1"/>
        </w:rPr>
        <w:t>已损毁</w:t>
      </w:r>
      <w:r>
        <w:rPr>
          <w:rFonts w:ascii="Times New Roman" w:hAnsi="Times New Roman" w:cs="Times New Roman"/>
          <w:color w:val="000000" w:themeColor="text1"/>
        </w:rPr>
        <w:t>面积为0.</w:t>
      </w:r>
      <w:r>
        <w:rPr>
          <w:rFonts w:hint="eastAsia" w:ascii="Times New Roman" w:hAnsi="Times New Roman" w:cs="Times New Roman"/>
          <w:color w:val="000000" w:themeColor="text1"/>
        </w:rPr>
        <w:t>36</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。已损毁土地</w:t>
      </w:r>
      <w:r>
        <w:rPr>
          <w:rFonts w:hint="eastAsia" w:ascii="Times New Roman" w:hAnsi="Times New Roman" w:cs="Times New Roman"/>
          <w:color w:val="000000" w:themeColor="text1"/>
        </w:rPr>
        <w:t>总面积为15.09</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 xml:space="preserve">。矿山开采已损毁土地见下表： </w:t>
      </w:r>
    </w:p>
    <w:p w14:paraId="7314EA7C">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表3-5 已损毁土地地类统计表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739"/>
        <w:gridCol w:w="2099"/>
        <w:gridCol w:w="1073"/>
        <w:gridCol w:w="1767"/>
        <w:gridCol w:w="1486"/>
        <w:gridCol w:w="2122"/>
      </w:tblGrid>
      <w:tr w14:paraId="029718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0" w:hRule="atLeast"/>
          <w:jc w:val="center"/>
        </w:trPr>
        <w:tc>
          <w:tcPr>
            <w:tcW w:w="2838" w:type="dxa"/>
            <w:gridSpan w:val="2"/>
            <w:tcBorders>
              <w:bottom w:val="single" w:color="auto" w:sz="4" w:space="0"/>
            </w:tcBorders>
            <w:shd w:val="clear" w:color="auto" w:fill="auto"/>
            <w:vAlign w:val="center"/>
          </w:tcPr>
          <w:p w14:paraId="36388DA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一级地类</w:t>
            </w:r>
          </w:p>
        </w:tc>
        <w:tc>
          <w:tcPr>
            <w:tcW w:w="2840" w:type="dxa"/>
            <w:gridSpan w:val="2"/>
            <w:tcBorders>
              <w:bottom w:val="single" w:color="auto" w:sz="4" w:space="0"/>
            </w:tcBorders>
            <w:shd w:val="clear" w:color="auto" w:fill="auto"/>
            <w:vAlign w:val="center"/>
          </w:tcPr>
          <w:p w14:paraId="4820449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二级地类</w:t>
            </w:r>
          </w:p>
        </w:tc>
        <w:tc>
          <w:tcPr>
            <w:tcW w:w="1486" w:type="dxa"/>
            <w:vMerge w:val="restart"/>
            <w:shd w:val="clear" w:color="auto" w:fill="auto"/>
            <w:vAlign w:val="center"/>
          </w:tcPr>
          <w:p w14:paraId="0995CA2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面积（h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2122" w:type="dxa"/>
            <w:vMerge w:val="restart"/>
            <w:shd w:val="clear" w:color="auto" w:fill="auto"/>
            <w:vAlign w:val="center"/>
          </w:tcPr>
          <w:p w14:paraId="731F788D">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占总面积比例（%）</w:t>
            </w:r>
          </w:p>
        </w:tc>
      </w:tr>
      <w:tr w14:paraId="050980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739" w:type="dxa"/>
            <w:tcBorders>
              <w:top w:val="single" w:color="auto" w:sz="4" w:space="0"/>
            </w:tcBorders>
            <w:shd w:val="clear" w:color="auto" w:fill="auto"/>
            <w:vAlign w:val="center"/>
          </w:tcPr>
          <w:p w14:paraId="0DAB8B53">
            <w:pPr>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编码</w:t>
            </w:r>
          </w:p>
        </w:tc>
        <w:tc>
          <w:tcPr>
            <w:tcW w:w="2099" w:type="dxa"/>
            <w:tcBorders>
              <w:top w:val="single" w:color="auto" w:sz="4" w:space="0"/>
            </w:tcBorders>
            <w:shd w:val="clear" w:color="auto" w:fill="auto"/>
            <w:vAlign w:val="center"/>
          </w:tcPr>
          <w:p w14:paraId="48D2B21E">
            <w:pPr>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名称</w:t>
            </w:r>
          </w:p>
        </w:tc>
        <w:tc>
          <w:tcPr>
            <w:tcW w:w="1073" w:type="dxa"/>
            <w:tcBorders>
              <w:top w:val="single" w:color="auto" w:sz="4" w:space="0"/>
            </w:tcBorders>
            <w:shd w:val="clear" w:color="auto" w:fill="auto"/>
            <w:vAlign w:val="center"/>
          </w:tcPr>
          <w:p w14:paraId="6CCDAA8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编码</w:t>
            </w:r>
          </w:p>
        </w:tc>
        <w:tc>
          <w:tcPr>
            <w:tcW w:w="1767" w:type="dxa"/>
            <w:tcBorders>
              <w:top w:val="single" w:color="auto" w:sz="4" w:space="0"/>
            </w:tcBorders>
            <w:shd w:val="clear" w:color="auto" w:fill="auto"/>
            <w:vAlign w:val="center"/>
          </w:tcPr>
          <w:p w14:paraId="1020520B">
            <w:pPr>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名称</w:t>
            </w:r>
          </w:p>
        </w:tc>
        <w:tc>
          <w:tcPr>
            <w:tcW w:w="1486" w:type="dxa"/>
            <w:vMerge w:val="continue"/>
            <w:shd w:val="clear" w:color="auto" w:fill="auto"/>
            <w:vAlign w:val="center"/>
          </w:tcPr>
          <w:p w14:paraId="3557D2C5">
            <w:pPr>
              <w:widowControl/>
              <w:snapToGrid w:val="0"/>
              <w:jc w:val="center"/>
              <w:rPr>
                <w:rFonts w:ascii="Times New Roman" w:hAnsi="Times New Roman" w:cs="Times New Roman"/>
                <w:color w:val="000000" w:themeColor="text1"/>
                <w:kern w:val="0"/>
                <w:sz w:val="24"/>
                <w:szCs w:val="24"/>
              </w:rPr>
            </w:pPr>
          </w:p>
        </w:tc>
        <w:tc>
          <w:tcPr>
            <w:tcW w:w="2122" w:type="dxa"/>
            <w:vMerge w:val="continue"/>
            <w:shd w:val="clear" w:color="auto" w:fill="auto"/>
            <w:vAlign w:val="center"/>
          </w:tcPr>
          <w:p w14:paraId="66698066">
            <w:pPr>
              <w:widowControl/>
              <w:snapToGrid w:val="0"/>
              <w:jc w:val="center"/>
              <w:rPr>
                <w:rFonts w:ascii="Times New Roman" w:hAnsi="Times New Roman" w:cs="Times New Roman"/>
                <w:color w:val="000000" w:themeColor="text1"/>
                <w:kern w:val="0"/>
                <w:sz w:val="24"/>
                <w:szCs w:val="24"/>
              </w:rPr>
            </w:pPr>
          </w:p>
        </w:tc>
      </w:tr>
      <w:tr w14:paraId="4F56138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shd w:val="clear" w:color="auto" w:fill="auto"/>
            <w:noWrap/>
            <w:vAlign w:val="center"/>
          </w:tcPr>
          <w:p w14:paraId="43A35B56">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w:t>
            </w:r>
          </w:p>
        </w:tc>
        <w:tc>
          <w:tcPr>
            <w:tcW w:w="2099" w:type="dxa"/>
            <w:shd w:val="clear" w:color="auto" w:fill="auto"/>
            <w:vAlign w:val="center"/>
          </w:tcPr>
          <w:p w14:paraId="1B252C62">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工矿仓储用地</w:t>
            </w:r>
          </w:p>
        </w:tc>
        <w:tc>
          <w:tcPr>
            <w:tcW w:w="1073" w:type="dxa"/>
            <w:shd w:val="clear" w:color="auto" w:fill="auto"/>
            <w:vAlign w:val="center"/>
          </w:tcPr>
          <w:p w14:paraId="0E8053A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0602</w:t>
            </w:r>
          </w:p>
        </w:tc>
        <w:tc>
          <w:tcPr>
            <w:tcW w:w="1767" w:type="dxa"/>
            <w:shd w:val="clear" w:color="auto" w:fill="auto"/>
            <w:vAlign w:val="center"/>
          </w:tcPr>
          <w:p w14:paraId="08DB0E75">
            <w:pPr>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采矿用地</w:t>
            </w:r>
          </w:p>
        </w:tc>
        <w:tc>
          <w:tcPr>
            <w:tcW w:w="1486" w:type="dxa"/>
            <w:shd w:val="clear" w:color="auto" w:fill="auto"/>
            <w:noWrap/>
            <w:vAlign w:val="center"/>
          </w:tcPr>
          <w:p w14:paraId="7FB27771">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15.09</w:t>
            </w:r>
          </w:p>
        </w:tc>
        <w:tc>
          <w:tcPr>
            <w:tcW w:w="2122" w:type="dxa"/>
            <w:shd w:val="clear" w:color="auto" w:fill="auto"/>
            <w:noWrap/>
            <w:vAlign w:val="center"/>
          </w:tcPr>
          <w:p w14:paraId="18B9C93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100.00</w:t>
            </w:r>
          </w:p>
        </w:tc>
      </w:tr>
      <w:tr w14:paraId="6867B5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5678" w:type="dxa"/>
            <w:gridSpan w:val="4"/>
            <w:shd w:val="clear" w:color="auto" w:fill="auto"/>
            <w:vAlign w:val="center"/>
          </w:tcPr>
          <w:p w14:paraId="405EE6C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1486" w:type="dxa"/>
            <w:shd w:val="clear" w:color="auto" w:fill="auto"/>
            <w:vAlign w:val="center"/>
          </w:tcPr>
          <w:p w14:paraId="45E3A05C">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15.09</w:t>
            </w:r>
          </w:p>
        </w:tc>
        <w:tc>
          <w:tcPr>
            <w:tcW w:w="2122" w:type="dxa"/>
            <w:shd w:val="clear" w:color="auto" w:fill="auto"/>
            <w:noWrap/>
            <w:vAlign w:val="center"/>
          </w:tcPr>
          <w:p w14:paraId="32A8F93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100.00</w:t>
            </w:r>
          </w:p>
        </w:tc>
      </w:tr>
    </w:tbl>
    <w:p w14:paraId="6C336830">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（3）土地损毁程度分析</w:t>
      </w:r>
    </w:p>
    <w:p w14:paraId="4C52C079">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项目用地土地损毁方式包括压占、挖损等不同类型，不同损毁方式对土壤和地表植被破坏程度不同，复垦工艺难易程度不同，将土地损毁评价的等级分为3级：一级（轻度损毁）、二级（中度损毁）、三级（重度损毁）。参照“木桶原理”，各类用地的土地损毁程度取决于最差因子的情况，具体详见表3-6：</w:t>
      </w:r>
    </w:p>
    <w:p w14:paraId="23A119F0">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表3-6 土地损毁程度标准表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788"/>
        <w:gridCol w:w="1827"/>
        <w:gridCol w:w="1987"/>
        <w:gridCol w:w="3498"/>
      </w:tblGrid>
      <w:tr w14:paraId="2AE9C9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blHeader/>
        </w:trPr>
        <w:tc>
          <w:tcPr>
            <w:tcW w:w="1675" w:type="dxa"/>
            <w:vAlign w:val="center"/>
          </w:tcPr>
          <w:p w14:paraId="117F5A72">
            <w:pPr>
              <w:widowControl/>
              <w:snapToGrid w:val="0"/>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项目</w:t>
            </w:r>
          </w:p>
        </w:tc>
        <w:tc>
          <w:tcPr>
            <w:tcW w:w="1711" w:type="dxa"/>
            <w:vAlign w:val="center"/>
          </w:tcPr>
          <w:p w14:paraId="3088FF97">
            <w:pPr>
              <w:widowControl/>
              <w:snapToGrid w:val="0"/>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轻度损毁</w:t>
            </w:r>
          </w:p>
        </w:tc>
        <w:tc>
          <w:tcPr>
            <w:tcW w:w="1861" w:type="dxa"/>
            <w:vAlign w:val="center"/>
          </w:tcPr>
          <w:p w14:paraId="3E013B14">
            <w:pPr>
              <w:widowControl/>
              <w:snapToGrid w:val="0"/>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中度损毁</w:t>
            </w:r>
          </w:p>
        </w:tc>
        <w:tc>
          <w:tcPr>
            <w:tcW w:w="3276" w:type="dxa"/>
            <w:vAlign w:val="center"/>
          </w:tcPr>
          <w:p w14:paraId="2C13ED2B">
            <w:pPr>
              <w:widowControl/>
              <w:snapToGrid w:val="0"/>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重度损毁</w:t>
            </w:r>
          </w:p>
        </w:tc>
      </w:tr>
      <w:tr w14:paraId="6968CE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rPr>
        <w:tc>
          <w:tcPr>
            <w:tcW w:w="1675" w:type="dxa"/>
            <w:vAlign w:val="center"/>
          </w:tcPr>
          <w:p w14:paraId="79A9D42D">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损毁方式</w:t>
            </w:r>
          </w:p>
        </w:tc>
        <w:tc>
          <w:tcPr>
            <w:tcW w:w="1711" w:type="dxa"/>
            <w:vAlign w:val="center"/>
          </w:tcPr>
          <w:p w14:paraId="24557752">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压占</w:t>
            </w:r>
          </w:p>
        </w:tc>
        <w:tc>
          <w:tcPr>
            <w:tcW w:w="1861" w:type="dxa"/>
            <w:vAlign w:val="center"/>
          </w:tcPr>
          <w:p w14:paraId="4D665CA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压占、挖损</w:t>
            </w:r>
          </w:p>
        </w:tc>
        <w:tc>
          <w:tcPr>
            <w:tcW w:w="3276" w:type="dxa"/>
            <w:vAlign w:val="center"/>
          </w:tcPr>
          <w:p w14:paraId="7ED34AC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挖损、压占</w:t>
            </w:r>
          </w:p>
        </w:tc>
      </w:tr>
      <w:tr w14:paraId="261A8C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rPr>
        <w:tc>
          <w:tcPr>
            <w:tcW w:w="1675" w:type="dxa"/>
            <w:vAlign w:val="center"/>
          </w:tcPr>
          <w:p w14:paraId="3144937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用地时间</w:t>
            </w:r>
          </w:p>
        </w:tc>
        <w:tc>
          <w:tcPr>
            <w:tcW w:w="1711" w:type="dxa"/>
            <w:vAlign w:val="center"/>
          </w:tcPr>
          <w:p w14:paraId="2962752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&lt;2年</w:t>
            </w:r>
          </w:p>
        </w:tc>
        <w:tc>
          <w:tcPr>
            <w:tcW w:w="1861" w:type="dxa"/>
            <w:vAlign w:val="center"/>
          </w:tcPr>
          <w:p w14:paraId="2F540FC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2-5年</w:t>
            </w:r>
          </w:p>
        </w:tc>
        <w:tc>
          <w:tcPr>
            <w:tcW w:w="3276" w:type="dxa"/>
            <w:vAlign w:val="center"/>
          </w:tcPr>
          <w:p w14:paraId="15601D1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&gt;5年</w:t>
            </w:r>
          </w:p>
        </w:tc>
      </w:tr>
      <w:tr w14:paraId="6989D0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rPr>
        <w:tc>
          <w:tcPr>
            <w:tcW w:w="1675" w:type="dxa"/>
            <w:vAlign w:val="center"/>
          </w:tcPr>
          <w:p w14:paraId="6699853D">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植被破坏程度</w:t>
            </w:r>
          </w:p>
        </w:tc>
        <w:tc>
          <w:tcPr>
            <w:tcW w:w="1711" w:type="dxa"/>
            <w:vAlign w:val="center"/>
          </w:tcPr>
          <w:p w14:paraId="00A36E9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轻度</w:t>
            </w:r>
          </w:p>
        </w:tc>
        <w:tc>
          <w:tcPr>
            <w:tcW w:w="1861" w:type="dxa"/>
            <w:vAlign w:val="center"/>
          </w:tcPr>
          <w:p w14:paraId="0FC8A5A2">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中度</w:t>
            </w:r>
          </w:p>
        </w:tc>
        <w:tc>
          <w:tcPr>
            <w:tcW w:w="3276" w:type="dxa"/>
            <w:vAlign w:val="center"/>
          </w:tcPr>
          <w:p w14:paraId="503A3F52">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r>
      <w:tr w14:paraId="7FB5FAD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rPr>
        <w:tc>
          <w:tcPr>
            <w:tcW w:w="1675" w:type="dxa"/>
            <w:vAlign w:val="center"/>
          </w:tcPr>
          <w:p w14:paraId="5DA011C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复垦难易程度</w:t>
            </w:r>
          </w:p>
        </w:tc>
        <w:tc>
          <w:tcPr>
            <w:tcW w:w="1711" w:type="dxa"/>
            <w:vAlign w:val="center"/>
          </w:tcPr>
          <w:p w14:paraId="44B8926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较易，简单平整管护</w:t>
            </w:r>
          </w:p>
        </w:tc>
        <w:tc>
          <w:tcPr>
            <w:tcW w:w="1861" w:type="dxa"/>
            <w:vAlign w:val="center"/>
          </w:tcPr>
          <w:p w14:paraId="0D26B25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中等，简单清理，以土方工程为主</w:t>
            </w:r>
          </w:p>
        </w:tc>
        <w:tc>
          <w:tcPr>
            <w:tcW w:w="3276" w:type="dxa"/>
            <w:vAlign w:val="center"/>
          </w:tcPr>
          <w:p w14:paraId="500F3C5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较难，混凝土拆除，土石方运输，沟路渠配套建设</w:t>
            </w:r>
          </w:p>
        </w:tc>
      </w:tr>
    </w:tbl>
    <w:p w14:paraId="26EA01C9">
      <w:pPr>
        <w:pStyle w:val="178"/>
        <w:topLinePunct/>
        <w:rPr>
          <w:rFonts w:ascii="Times New Roman" w:hAnsi="Times New Roman" w:cs="Times New Roman"/>
          <w:color w:val="000000" w:themeColor="text1"/>
        </w:rPr>
      </w:pPr>
      <w:r>
        <w:rPr>
          <w:rFonts w:ascii="Times New Roman" w:hAnsi="Times New Roman" w:cs="Times New Roman"/>
          <w:color w:val="000000" w:themeColor="text1"/>
        </w:rPr>
        <w:t>由于本项目植被破坏程度为重度，结合上述标准，土地损毁程度为重度。因此本项目各类用地土地损毁程度详见表3-7：</w:t>
      </w:r>
    </w:p>
    <w:p w14:paraId="52AC39C5">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表3-7 已损毁土地预测损毁情况表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1306"/>
        <w:gridCol w:w="525"/>
        <w:gridCol w:w="1320"/>
        <w:gridCol w:w="771"/>
        <w:gridCol w:w="1986"/>
        <w:gridCol w:w="1390"/>
        <w:gridCol w:w="994"/>
        <w:gridCol w:w="994"/>
      </w:tblGrid>
      <w:tr w14:paraId="26E41397">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Align w:val="center"/>
          </w:tcPr>
          <w:p w14:paraId="24FA670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占地</w:t>
            </w:r>
          </w:p>
          <w:p w14:paraId="2C5C1BC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范围</w:t>
            </w:r>
          </w:p>
        </w:tc>
        <w:tc>
          <w:tcPr>
            <w:tcW w:w="1845" w:type="dxa"/>
            <w:gridSpan w:val="2"/>
            <w:vAlign w:val="center"/>
          </w:tcPr>
          <w:p w14:paraId="50474A5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一级地类</w:t>
            </w:r>
          </w:p>
        </w:tc>
        <w:tc>
          <w:tcPr>
            <w:tcW w:w="2757" w:type="dxa"/>
            <w:gridSpan w:val="2"/>
            <w:vAlign w:val="center"/>
          </w:tcPr>
          <w:p w14:paraId="068FD78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二级地类</w:t>
            </w:r>
          </w:p>
        </w:tc>
        <w:tc>
          <w:tcPr>
            <w:tcW w:w="1390" w:type="dxa"/>
            <w:vAlign w:val="center"/>
          </w:tcPr>
          <w:p w14:paraId="3718732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面积</w:t>
            </w:r>
          </w:p>
          <w:p w14:paraId="02EC969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994" w:type="dxa"/>
            <w:vAlign w:val="center"/>
          </w:tcPr>
          <w:p w14:paraId="2C4E5F0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损毁</w:t>
            </w:r>
          </w:p>
          <w:p w14:paraId="2A2C87C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方式</w:t>
            </w:r>
          </w:p>
        </w:tc>
        <w:tc>
          <w:tcPr>
            <w:tcW w:w="994" w:type="dxa"/>
            <w:vAlign w:val="center"/>
          </w:tcPr>
          <w:p w14:paraId="04AE4D0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损毁</w:t>
            </w:r>
          </w:p>
          <w:p w14:paraId="4519178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程度</w:t>
            </w:r>
          </w:p>
        </w:tc>
      </w:tr>
      <w:tr w14:paraId="6E7DC7E4">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tcBorders>
              <w:bottom w:val="single" w:color="auto" w:sz="4" w:space="0"/>
            </w:tcBorders>
            <w:shd w:val="clear" w:color="auto" w:fill="auto"/>
            <w:vAlign w:val="center"/>
          </w:tcPr>
          <w:p w14:paraId="469F479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露天采场已损毁区</w:t>
            </w:r>
          </w:p>
        </w:tc>
        <w:tc>
          <w:tcPr>
            <w:tcW w:w="525" w:type="dxa"/>
            <w:tcBorders>
              <w:bottom w:val="single" w:color="auto" w:sz="4" w:space="0"/>
            </w:tcBorders>
            <w:vAlign w:val="center"/>
          </w:tcPr>
          <w:p w14:paraId="3316B6F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w:t>
            </w:r>
          </w:p>
        </w:tc>
        <w:tc>
          <w:tcPr>
            <w:tcW w:w="1320" w:type="dxa"/>
            <w:tcBorders>
              <w:bottom w:val="single" w:color="auto" w:sz="4" w:space="0"/>
            </w:tcBorders>
            <w:vAlign w:val="center"/>
          </w:tcPr>
          <w:p w14:paraId="7289A9A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工矿仓储</w:t>
            </w:r>
          </w:p>
          <w:p w14:paraId="1A96853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用地</w:t>
            </w:r>
          </w:p>
        </w:tc>
        <w:tc>
          <w:tcPr>
            <w:tcW w:w="771" w:type="dxa"/>
            <w:tcBorders>
              <w:bottom w:val="single" w:color="auto" w:sz="4" w:space="0"/>
            </w:tcBorders>
            <w:vAlign w:val="center"/>
          </w:tcPr>
          <w:p w14:paraId="2CD0F97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0602</w:t>
            </w:r>
          </w:p>
        </w:tc>
        <w:tc>
          <w:tcPr>
            <w:tcW w:w="1986" w:type="dxa"/>
            <w:tcBorders>
              <w:bottom w:val="single" w:color="auto" w:sz="4" w:space="0"/>
            </w:tcBorders>
            <w:vAlign w:val="center"/>
          </w:tcPr>
          <w:p w14:paraId="31CFD186">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采矿用地</w:t>
            </w:r>
          </w:p>
        </w:tc>
        <w:tc>
          <w:tcPr>
            <w:tcW w:w="1390" w:type="dxa"/>
            <w:tcBorders>
              <w:bottom w:val="single" w:color="auto" w:sz="4" w:space="0"/>
            </w:tcBorders>
            <w:vAlign w:val="center"/>
          </w:tcPr>
          <w:p w14:paraId="59B4CDE8">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14.73</w:t>
            </w:r>
          </w:p>
        </w:tc>
        <w:tc>
          <w:tcPr>
            <w:tcW w:w="994" w:type="dxa"/>
            <w:tcBorders>
              <w:bottom w:val="single" w:color="auto" w:sz="4" w:space="0"/>
            </w:tcBorders>
            <w:vAlign w:val="center"/>
          </w:tcPr>
          <w:p w14:paraId="7D6DED7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挖损</w:t>
            </w:r>
          </w:p>
        </w:tc>
        <w:tc>
          <w:tcPr>
            <w:tcW w:w="994" w:type="dxa"/>
            <w:tcBorders>
              <w:bottom w:val="single" w:color="auto" w:sz="4" w:space="0"/>
            </w:tcBorders>
            <w:vAlign w:val="center"/>
          </w:tcPr>
          <w:p w14:paraId="7AF2F8A1">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r>
      <w:tr w14:paraId="19DC76EA">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tcBorders>
              <w:top w:val="single" w:color="auto" w:sz="4" w:space="0"/>
            </w:tcBorders>
            <w:shd w:val="clear" w:color="auto" w:fill="auto"/>
            <w:vAlign w:val="center"/>
          </w:tcPr>
          <w:p w14:paraId="6602732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排土场已损毁区</w:t>
            </w:r>
          </w:p>
        </w:tc>
        <w:tc>
          <w:tcPr>
            <w:tcW w:w="525" w:type="dxa"/>
            <w:tcBorders>
              <w:top w:val="single" w:color="auto" w:sz="4" w:space="0"/>
            </w:tcBorders>
            <w:vAlign w:val="center"/>
          </w:tcPr>
          <w:p w14:paraId="10C3CC8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w:t>
            </w:r>
          </w:p>
        </w:tc>
        <w:tc>
          <w:tcPr>
            <w:tcW w:w="1320" w:type="dxa"/>
            <w:tcBorders>
              <w:top w:val="single" w:color="auto" w:sz="4" w:space="0"/>
            </w:tcBorders>
            <w:vAlign w:val="center"/>
          </w:tcPr>
          <w:p w14:paraId="3AE752E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工矿仓储</w:t>
            </w:r>
          </w:p>
          <w:p w14:paraId="1A53631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用地</w:t>
            </w:r>
          </w:p>
        </w:tc>
        <w:tc>
          <w:tcPr>
            <w:tcW w:w="771" w:type="dxa"/>
            <w:tcBorders>
              <w:top w:val="single" w:color="auto" w:sz="4" w:space="0"/>
            </w:tcBorders>
            <w:vAlign w:val="center"/>
          </w:tcPr>
          <w:p w14:paraId="2E63533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0602</w:t>
            </w:r>
          </w:p>
        </w:tc>
        <w:tc>
          <w:tcPr>
            <w:tcW w:w="1986" w:type="dxa"/>
            <w:tcBorders>
              <w:top w:val="single" w:color="auto" w:sz="4" w:space="0"/>
            </w:tcBorders>
            <w:vAlign w:val="center"/>
          </w:tcPr>
          <w:p w14:paraId="57749AD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采矿用地</w:t>
            </w:r>
          </w:p>
        </w:tc>
        <w:tc>
          <w:tcPr>
            <w:tcW w:w="1390" w:type="dxa"/>
            <w:tcBorders>
              <w:top w:val="single" w:color="auto" w:sz="4" w:space="0"/>
            </w:tcBorders>
            <w:vAlign w:val="center"/>
          </w:tcPr>
          <w:p w14:paraId="6379845C">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0.36</w:t>
            </w:r>
          </w:p>
        </w:tc>
        <w:tc>
          <w:tcPr>
            <w:tcW w:w="994" w:type="dxa"/>
            <w:tcBorders>
              <w:top w:val="single" w:color="auto" w:sz="4" w:space="0"/>
            </w:tcBorders>
            <w:vAlign w:val="center"/>
          </w:tcPr>
          <w:p w14:paraId="18A448B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压占</w:t>
            </w:r>
          </w:p>
        </w:tc>
        <w:tc>
          <w:tcPr>
            <w:tcW w:w="994" w:type="dxa"/>
            <w:tcBorders>
              <w:top w:val="single" w:color="auto" w:sz="4" w:space="0"/>
            </w:tcBorders>
            <w:vAlign w:val="center"/>
          </w:tcPr>
          <w:p w14:paraId="46049B5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r>
      <w:tr w14:paraId="637B3AAD">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5908" w:type="dxa"/>
            <w:gridSpan w:val="5"/>
            <w:vAlign w:val="center"/>
          </w:tcPr>
          <w:p w14:paraId="6AC3C71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1390" w:type="dxa"/>
            <w:vAlign w:val="center"/>
          </w:tcPr>
          <w:p w14:paraId="68BC8F2D">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15.09</w:t>
            </w:r>
          </w:p>
        </w:tc>
        <w:tc>
          <w:tcPr>
            <w:tcW w:w="994" w:type="dxa"/>
            <w:vAlign w:val="center"/>
          </w:tcPr>
          <w:p w14:paraId="21515E9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994" w:type="dxa"/>
            <w:vAlign w:val="center"/>
          </w:tcPr>
          <w:p w14:paraId="66AC6CD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r>
    </w:tbl>
    <w:p w14:paraId="1DDD3827">
      <w:pPr>
        <w:pStyle w:val="179"/>
        <w:topLinePunct/>
        <w:rPr>
          <w:rFonts w:ascii="Times New Roman" w:hAnsi="Times New Roman" w:cs="Times New Roman"/>
          <w:color w:val="000000" w:themeColor="text1"/>
        </w:rPr>
      </w:pPr>
      <w:r>
        <w:rPr>
          <w:rFonts w:ascii="Times New Roman" w:hAnsi="Times New Roman" w:cs="Times New Roman"/>
          <w:color w:val="000000" w:themeColor="text1"/>
        </w:rPr>
        <w:t>4、生态受损与环境污染问题</w:t>
      </w:r>
    </w:p>
    <w:p w14:paraId="51495260">
      <w:pPr>
        <w:pStyle w:val="178"/>
        <w:topLinePunct/>
        <w:rPr>
          <w:rFonts w:ascii="Times New Roman" w:hAnsi="Times New Roman" w:cs="Times New Roman"/>
          <w:color w:val="000000" w:themeColor="text1"/>
        </w:rPr>
      </w:pPr>
      <w:r>
        <w:rPr>
          <w:rFonts w:ascii="Times New Roman" w:hAnsi="Times New Roman" w:cs="Times New Roman"/>
          <w:color w:val="000000" w:themeColor="text1"/>
        </w:rPr>
        <w:t>（1）植被损毁</w:t>
      </w:r>
    </w:p>
    <w:p w14:paraId="70C90517">
      <w:pPr>
        <w:pStyle w:val="178"/>
        <w:topLinePunct/>
        <w:rPr>
          <w:rFonts w:ascii="Times New Roman" w:hAnsi="Times New Roman" w:cs="Times New Roman"/>
          <w:color w:val="000000" w:themeColor="text1"/>
        </w:rPr>
      </w:pPr>
      <w:r>
        <w:rPr>
          <w:rFonts w:ascii="Times New Roman" w:hAnsi="Times New Roman" w:cs="Times New Roman"/>
          <w:color w:val="000000" w:themeColor="text1"/>
        </w:rPr>
        <w:t>植被具有防风固沙、防水土流失功能。矿山开采和加工导致植被完全丧失。物料堆积、践踏等均会改变土壤结构、质地和理化性质，由于人为因素的影响，会新增一定量水土流失。施工中机械碾压、人员践踏等，会造成土壤板结。各种施工活动会对实施区域内的土壤结构造成不同程度的破坏，使土壤的有机质和粘粒含量减少，影响植物正常生长。在开采过程中，需完全清除地面表土后才能进行正常开采，这直接导致植被被破坏、土壤退化。植被直接损毁范围包括露天采场</w:t>
      </w:r>
      <w:r>
        <w:rPr>
          <w:rFonts w:hint="eastAsia" w:ascii="Times New Roman" w:hAnsi="Times New Roman" w:cs="Times New Roman"/>
          <w:color w:val="000000" w:themeColor="text1"/>
        </w:rPr>
        <w:t>14.73</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、排土场</w:t>
      </w:r>
      <w:r>
        <w:rPr>
          <w:rFonts w:hint="eastAsia" w:ascii="Times New Roman" w:hAnsi="Times New Roman" w:cs="Times New Roman"/>
          <w:color w:val="000000" w:themeColor="text1"/>
        </w:rPr>
        <w:t>压占0.36</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，损毁程度为严重。</w:t>
      </w:r>
    </w:p>
    <w:p w14:paraId="454360CA">
      <w:pPr>
        <w:pStyle w:val="178"/>
        <w:topLinePunct/>
        <w:rPr>
          <w:rFonts w:ascii="Times New Roman" w:hAnsi="Times New Roman" w:cs="Times New Roman"/>
          <w:color w:val="000000" w:themeColor="text1"/>
        </w:rPr>
      </w:pPr>
      <w:r>
        <w:rPr>
          <w:rFonts w:ascii="Times New Roman" w:hAnsi="Times New Roman" w:cs="Times New Roman"/>
          <w:color w:val="000000" w:themeColor="text1"/>
        </w:rPr>
        <w:t>评估区内其他区域：矿山生产过程中产生的无组织粉尘对周边植物产生影响，主要表现在对作物光合作用的影响上。粒径大于1μm的颗粒物在扩散过程中可自然沉降，吸附于植物叶片上，阻塞气孔，影响生长，使叶片褪色、变硬，植物生长不良。粉尘落到田间会影响土壤的透水透气性能，不利于植物吸收土壤的养分，间接造成植物生长缓慢。矿山开采过程中会采取措施洒水降尘，该区域植被损毁程度为较轻。</w:t>
      </w:r>
    </w:p>
    <w:p w14:paraId="350E719B">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（2）生物多样性丧失</w:t>
      </w:r>
    </w:p>
    <w:p w14:paraId="2065156D">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矿山开采和加工破坏了自然栖息地，导致物种流离失所和种群下降。矿山开采和加工使土壤退化，抑制了植物生长和土壤生物多样性，损毁程度为严重。矿山开采导致生物多样性严重丧失主要集中在露天采场</w:t>
      </w:r>
      <w:r>
        <w:rPr>
          <w:rFonts w:hint="eastAsia" w:ascii="Times New Roman" w:hAnsi="Times New Roman" w:cs="Times New Roman"/>
          <w:color w:val="000000" w:themeColor="text1"/>
        </w:rPr>
        <w:t>14.73</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、排土场</w:t>
      </w:r>
      <w:r>
        <w:rPr>
          <w:rFonts w:hint="eastAsia" w:ascii="Times New Roman" w:hAnsi="Times New Roman" w:cs="Times New Roman"/>
          <w:color w:val="000000" w:themeColor="text1"/>
        </w:rPr>
        <w:t>压占0.36</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w:t>
      </w:r>
    </w:p>
    <w:p w14:paraId="18E1211B">
      <w:pPr>
        <w:pStyle w:val="178"/>
        <w:topLinePunct/>
        <w:rPr>
          <w:rFonts w:ascii="Times New Roman" w:hAnsi="Times New Roman" w:cs="Times New Roman"/>
          <w:color w:val="000000" w:themeColor="text1"/>
        </w:rPr>
      </w:pPr>
      <w:r>
        <w:rPr>
          <w:rFonts w:ascii="Times New Roman" w:hAnsi="Times New Roman" w:cs="Times New Roman"/>
          <w:color w:val="000000" w:themeColor="text1"/>
        </w:rPr>
        <w:t>评估区内其他区域：矿山在生产期间，不可避免的会破坏周边动物的生境，使生态系统的组成和结构发生局部改变，建筑的噪声、振动会使矿区附近动物发生迁徙，其影响范围是矿山面积的5倍-10倍。由于植物生境的破坏，使得植被覆盖率降低，再加上动物的迁徙，使系统的总生物量减少，对局部区域的生物量有较大的影响，但项目区附近野生动物较少，所以影响较小。同时，对整个地区生态系统的功能、稳定性不会产生大的影响，也不会引起物种减少。因此，该区域损毁程度为较轻。</w:t>
      </w:r>
    </w:p>
    <w:p w14:paraId="1BC70A23">
      <w:pPr>
        <w:pStyle w:val="178"/>
        <w:topLinePunct/>
        <w:rPr>
          <w:rFonts w:ascii="Times New Roman" w:hAnsi="Times New Roman" w:cs="Times New Roman"/>
          <w:color w:val="000000" w:themeColor="text1"/>
        </w:rPr>
      </w:pPr>
      <w:r>
        <w:rPr>
          <w:rFonts w:ascii="Times New Roman" w:hAnsi="Times New Roman" w:cs="Times New Roman"/>
          <w:color w:val="000000" w:themeColor="text1"/>
        </w:rPr>
        <w:t>3）水土环境污染</w:t>
      </w:r>
    </w:p>
    <w:p w14:paraId="45251127">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矿山开采不产生有毒有害废水。矿山少量废水主要为生活污水，矿山生活用水2</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d，生活用水由附近村屯取运，生活废水量极小，无毒，经自然沉淀处理后直接排放到附近的自然沟渠。处理后废水可达到《污水综合排放标准》一级标准，不会对水环境产生污染。矿山周边无污染源，现状条件下，矿山采矿活动对水环境污染及影响较轻。粉尘及废气：产生粉尘的主要部位有：采掘、运输等生产过程，</w:t>
      </w:r>
    </w:p>
    <w:p w14:paraId="267D054E">
      <w:pPr>
        <w:pStyle w:val="178"/>
        <w:topLinePunct/>
        <w:rPr>
          <w:rFonts w:ascii="Times New Roman" w:hAnsi="Times New Roman" w:cs="Times New Roman"/>
          <w:color w:val="000000" w:themeColor="text1"/>
        </w:rPr>
      </w:pPr>
      <w:r>
        <w:rPr>
          <w:rFonts w:ascii="Times New Roman" w:hAnsi="Times New Roman" w:cs="Times New Roman"/>
          <w:color w:val="000000" w:themeColor="text1"/>
        </w:rPr>
        <w:t>废气主要为尾气。为减少粉尘飞扬和废气污染，由矿山派出洒水车对运输道路洒水，使粉尘和废气污染降到最低。</w:t>
      </w:r>
    </w:p>
    <w:p w14:paraId="2D3D9D80">
      <w:pPr>
        <w:pStyle w:val="178"/>
        <w:topLinePunct/>
        <w:rPr>
          <w:rFonts w:ascii="Times New Roman" w:hAnsi="Times New Roman" w:cs="Times New Roman"/>
          <w:color w:val="000000" w:themeColor="text1"/>
        </w:rPr>
      </w:pPr>
      <w:r>
        <w:rPr>
          <w:rFonts w:ascii="Times New Roman" w:hAnsi="Times New Roman" w:cs="Times New Roman"/>
          <w:color w:val="000000" w:themeColor="text1"/>
        </w:rPr>
        <w:t>综上所述，矿山开采对矿区水土环境污染较轻。</w:t>
      </w:r>
    </w:p>
    <w:p w14:paraId="0AEB35BC">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（二）受损预测</w:t>
      </w:r>
    </w:p>
    <w:p w14:paraId="38EE0FA8">
      <w:pPr>
        <w:pStyle w:val="179"/>
        <w:topLinePunct/>
        <w:rPr>
          <w:rFonts w:ascii="Times New Roman" w:hAnsi="Times New Roman" w:cs="Times New Roman"/>
          <w:color w:val="000000" w:themeColor="text1"/>
        </w:rPr>
      </w:pPr>
      <w:r>
        <w:rPr>
          <w:rFonts w:ascii="Times New Roman" w:hAnsi="Times New Roman" w:cs="Times New Roman"/>
          <w:color w:val="000000" w:themeColor="text1"/>
        </w:rPr>
        <w:t>1、土地损毁环节与时序</w:t>
      </w:r>
    </w:p>
    <w:p w14:paraId="16F432BD">
      <w:pPr>
        <w:pStyle w:val="178"/>
        <w:topLinePunct/>
        <w:rPr>
          <w:rFonts w:ascii="Times New Roman" w:hAnsi="Times New Roman" w:cs="Times New Roman"/>
          <w:color w:val="000000" w:themeColor="text1"/>
        </w:rPr>
      </w:pPr>
      <w:r>
        <w:rPr>
          <w:rFonts w:ascii="Times New Roman" w:hAnsi="Times New Roman" w:cs="Times New Roman"/>
          <w:color w:val="000000" w:themeColor="text1"/>
        </w:rPr>
        <w:t>各损毁地块的损毁时序，可划分两个阶段：建设初期，由于表土剥离等工程内容的建设将破坏原有的地形地貌，同时对土地造成压占破坏，在矿区范围内东北部历史采区设置一处排土场用于堆放剥离表土。生产期间，地表开采对土地造成挖损破坏，石料采出后直接运至项目区，故不设置堆料场。损毁的环节和时序详见图3-2。</w:t>
      </w:r>
    </w:p>
    <w:p w14:paraId="0F5BAF04">
      <w:pPr>
        <w:pStyle w:val="178"/>
        <w:topLinePunct/>
        <w:ind w:firstLine="0" w:firstLineChars="0"/>
        <w:jc w:val="center"/>
        <w:rPr>
          <w:rFonts w:ascii="Times New Roman" w:hAnsi="Times New Roman" w:cs="Times New Roman"/>
          <w:color w:val="000000" w:themeColor="text1"/>
        </w:rPr>
      </w:pPr>
      <w:r>
        <w:rPr>
          <w:rFonts w:ascii="Times New Roman" w:hAnsi="Times New Roman" w:cs="Times New Roman"/>
          <w:bCs/>
          <w:color w:val="000000" w:themeColor="text1"/>
          <w:sz w:val="24"/>
        </w:rPr>
        <w:drawing>
          <wp:inline distT="0" distB="0" distL="0" distR="0">
            <wp:extent cx="5229860" cy="2819400"/>
            <wp:effectExtent l="0" t="0" r="8890" b="0"/>
            <wp:docPr id="3" name="图片 3" descr="未标题-1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未标题-1 拷贝"/>
                    <pic:cNvPicPr>
                      <a:picLocks noChangeAspect="1" noChangeArrowheads="1"/>
                    </pic:cNvPicPr>
                  </pic:nvPicPr>
                  <pic:blipFill>
                    <a:blip r:embed="rId18"/>
                    <a:srcRect/>
                    <a:stretch>
                      <a:fillRect/>
                    </a:stretch>
                  </pic:blipFill>
                  <pic:spPr>
                    <a:xfrm>
                      <a:off x="0" y="0"/>
                      <a:ext cx="5229860" cy="2819400"/>
                    </a:xfrm>
                    <a:prstGeom prst="rect">
                      <a:avLst/>
                    </a:prstGeom>
                    <a:noFill/>
                    <a:ln w="9525">
                      <a:noFill/>
                      <a:miter lim="800000"/>
                      <a:headEnd/>
                      <a:tailEnd/>
                    </a:ln>
                  </pic:spPr>
                </pic:pic>
              </a:graphicData>
            </a:graphic>
          </wp:inline>
        </w:drawing>
      </w:r>
    </w:p>
    <w:p w14:paraId="0665345D">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图3-2项目区损毁土地工艺流程</w:t>
      </w:r>
    </w:p>
    <w:p w14:paraId="4B5E4257">
      <w:pPr>
        <w:pStyle w:val="179"/>
        <w:topLinePunct/>
        <w:rPr>
          <w:rFonts w:ascii="Times New Roman" w:hAnsi="Times New Roman" w:cs="Times New Roman"/>
          <w:color w:val="000000" w:themeColor="text1"/>
        </w:rPr>
      </w:pPr>
      <w:r>
        <w:rPr>
          <w:rFonts w:ascii="Times New Roman" w:hAnsi="Times New Roman" w:cs="Times New Roman"/>
          <w:color w:val="000000" w:themeColor="text1"/>
        </w:rPr>
        <w:t>2、地质环境影响预测分析</w:t>
      </w:r>
    </w:p>
    <w:p w14:paraId="2E2FB4C5">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（1）矿山地质灾害预测分析</w:t>
      </w:r>
    </w:p>
    <w:p w14:paraId="41E577A6">
      <w:pPr>
        <w:pStyle w:val="178"/>
        <w:topLinePunct/>
        <w:rPr>
          <w:rFonts w:ascii="Times New Roman" w:hAnsi="Times New Roman" w:cs="Times New Roman"/>
          <w:color w:val="000000" w:themeColor="text1"/>
        </w:rPr>
      </w:pPr>
      <w:r>
        <w:rPr>
          <w:rFonts w:ascii="Times New Roman" w:hAnsi="Times New Roman" w:cs="Times New Roman"/>
          <w:color w:val="000000" w:themeColor="text1"/>
        </w:rPr>
        <w:t>1）潜在崩塌</w:t>
      </w:r>
    </w:p>
    <w:p w14:paraId="100BC2A9">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在开采过程中随着掌子面不断扩大，采用人工打眼放炮，使岩体不稳定，若预留边坡角角度不合理，易产生潜在崩塌，重力作用下，尤其降水过程中局部可能产生小规模滑塌，危害开采后的坡脚，但其影响面积小，危险程度小，预测危险性小。后期露天采场历史已开采区将继续安规范进行采矿活动，加剧崩塌地质灾害的可能性小；危害对象主要为露天采场范围内的人员及设备等，威胁人数约1-3人，威胁资产约50万元，危害程度轻；预测采矿活动加剧崩塌地质灾害危险性等级为弱。</w:t>
      </w:r>
    </w:p>
    <w:p w14:paraId="397E4959">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2）季节性冻土冻融</w:t>
      </w:r>
    </w:p>
    <w:p w14:paraId="33DF4796">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生产的主体工程及其附属设施，均有可能遭受冻土冻融地质灾害的威胁，所有基础设施建设的基础埋深均应超过季节最大冻深，从而有效地减轻和避免此类地质灾害的发生，因冻土冻融地质灾害只对浅基础构筑物和道路等造成危害，采取适当工程措施易防治，因此，该地质灾害的危险性小。</w:t>
      </w:r>
    </w:p>
    <w:p w14:paraId="0933C2D9">
      <w:pPr>
        <w:pStyle w:val="178"/>
        <w:topLinePunct/>
        <w:rPr>
          <w:rFonts w:ascii="Times New Roman" w:hAnsi="Times New Roman" w:cs="Times New Roman"/>
          <w:color w:val="000000" w:themeColor="text1"/>
        </w:rPr>
      </w:pPr>
      <w:r>
        <w:rPr>
          <w:rFonts w:ascii="Times New Roman" w:hAnsi="Times New Roman" w:cs="Times New Roman"/>
          <w:color w:val="000000" w:themeColor="text1"/>
        </w:rPr>
        <w:t>综上所述，矿山建设和开采可能引发和加剧的地质灾害主要有潜在崩塌，可能遭受的地质灾害为冻土冻融，均为危害轻，危险性小。</w:t>
      </w:r>
    </w:p>
    <w:p w14:paraId="1D7C82A0">
      <w:pPr>
        <w:pStyle w:val="178"/>
        <w:topLinePunct/>
        <w:rPr>
          <w:rFonts w:ascii="Times New Roman" w:hAnsi="Times New Roman" w:cs="Times New Roman"/>
          <w:color w:val="000000" w:themeColor="text1"/>
        </w:rPr>
      </w:pPr>
      <w:r>
        <w:rPr>
          <w:rFonts w:ascii="Times New Roman" w:hAnsi="Times New Roman" w:cs="Times New Roman"/>
          <w:color w:val="000000" w:themeColor="text1"/>
        </w:rPr>
        <w:t xml:space="preserve">（2）含水层影响预测分析 </w:t>
      </w:r>
    </w:p>
    <w:p w14:paraId="67B90CA5">
      <w:pPr>
        <w:pStyle w:val="178"/>
        <w:topLinePunct/>
        <w:rPr>
          <w:rFonts w:ascii="Times New Roman" w:hAnsi="Times New Roman" w:cs="Times New Roman"/>
          <w:color w:val="000000" w:themeColor="text1"/>
        </w:rPr>
      </w:pPr>
      <w:r>
        <w:rPr>
          <w:rFonts w:ascii="Times New Roman" w:hAnsi="Times New Roman" w:cs="Times New Roman"/>
          <w:color w:val="000000" w:themeColor="text1"/>
        </w:rPr>
        <w:t>该矿山内无污染源，矿山生产活动中无“有毒有害”物质产生及“有毒有害”废水排放、地下水疏干排水等，地下水自然流场及水环境要素不会因矿产资源的开发而发生改变。在矿山开采过程中产生的废石中不含能够污染环境的化学元素，但应避免随意滥堆，矿山开采不会对水质产生影响。</w:t>
      </w:r>
    </w:p>
    <w:p w14:paraId="24663862">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床为基岩风化裂隙含水层直接充水的矿床。含水层与矿体直接接触，地下水直接进入矿坑。因风化带发育深度有限，矿体附近既无地表水，又无第四系含水层，水文地质边界简单，含水层补给不足，富水性弱。大气降水的渗入补给是基岩裂隙水的充水水源。矿区及周围主要含水层水位下降幅度小，矿区及周围地表水体不会漏失，不会影响矿区及周围生产生活供水。但随着矿山开采范围的不断增大，采场范围内原有基岩裂隙含水层结构会受到轻微破坏，预测矿山活动对含水层结构影响较轻。矿区位于山坡，地势较高，矿床本身赋水性较弱，地下水环境受人类活动的影响很小，地下水环境现状良好。</w:t>
      </w:r>
    </w:p>
    <w:p w14:paraId="6C6D4345">
      <w:pPr>
        <w:pStyle w:val="178"/>
        <w:topLinePunct/>
        <w:rPr>
          <w:rFonts w:ascii="Times New Roman" w:hAnsi="Times New Roman" w:cs="Times New Roman"/>
          <w:color w:val="000000" w:themeColor="text1"/>
        </w:rPr>
      </w:pPr>
      <w:r>
        <w:rPr>
          <w:rFonts w:ascii="Times New Roman" w:hAnsi="Times New Roman" w:cs="Times New Roman"/>
          <w:color w:val="000000" w:themeColor="text1"/>
        </w:rPr>
        <w:t>综上所述，预测矿山在未来的生产活动中对地下水环境影响程度较轻。</w:t>
      </w:r>
    </w:p>
    <w:p w14:paraId="1B379BB1">
      <w:pPr>
        <w:pStyle w:val="178"/>
        <w:topLinePunct/>
        <w:rPr>
          <w:rFonts w:ascii="Times New Roman" w:hAnsi="Times New Roman" w:cs="Times New Roman"/>
          <w:color w:val="000000" w:themeColor="text1"/>
        </w:rPr>
      </w:pPr>
      <w:r>
        <w:rPr>
          <w:rFonts w:ascii="Times New Roman" w:hAnsi="Times New Roman" w:cs="Times New Roman"/>
          <w:color w:val="000000" w:themeColor="text1"/>
        </w:rPr>
        <w:t>（3）矿区地形地貌景观（地质遗迹、人文景观）破坏预测分析</w:t>
      </w:r>
    </w:p>
    <w:p w14:paraId="11D99D31">
      <w:pPr>
        <w:pStyle w:val="178"/>
        <w:topLinePunct/>
        <w:rPr>
          <w:rFonts w:ascii="Times New Roman" w:hAnsi="Times New Roman" w:cs="Times New Roman"/>
          <w:color w:val="000000" w:themeColor="text1"/>
        </w:rPr>
      </w:pPr>
      <w:r>
        <w:rPr>
          <w:rFonts w:ascii="Times New Roman" w:hAnsi="Times New Roman" w:cs="Times New Roman"/>
          <w:color w:val="000000" w:themeColor="text1"/>
        </w:rPr>
        <w:t>目前临时办公区、排土场等生产辅助设施可满足未来矿山生产需求，未来矿山开采活动对地形地貌造成影响和破坏主要表现为露天采场的进一步开挖</w:t>
      </w:r>
      <w:r>
        <w:rPr>
          <w:rFonts w:hint="eastAsia" w:ascii="Times New Roman" w:hAnsi="Times New Roman" w:cs="Times New Roman"/>
          <w:color w:val="000000" w:themeColor="text1"/>
        </w:rPr>
        <w:t>和排土场压占</w:t>
      </w:r>
      <w:r>
        <w:rPr>
          <w:rFonts w:ascii="Times New Roman" w:hAnsi="Times New Roman" w:cs="Times New Roman"/>
          <w:color w:val="000000" w:themeColor="text1"/>
        </w:rPr>
        <w:t>。</w:t>
      </w:r>
    </w:p>
    <w:p w14:paraId="194F6455">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根据开发利用方案，开采方式为露天开采，开采顺序为自上而下台阶式开采，至采矿终了，采矿</w:t>
      </w:r>
      <w:r>
        <w:rPr>
          <w:rFonts w:hint="eastAsia" w:ascii="Times New Roman" w:hAnsi="Times New Roman" w:cs="Times New Roman"/>
          <w:color w:val="000000" w:themeColor="text1"/>
        </w:rPr>
        <w:t>活动</w:t>
      </w:r>
      <w:r>
        <w:rPr>
          <w:rFonts w:ascii="Times New Roman" w:hAnsi="Times New Roman" w:cs="Times New Roman"/>
          <w:color w:val="000000" w:themeColor="text1"/>
        </w:rPr>
        <w:t>破坏土地面积为</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。露天开采开挖将改变原有地形地貌，地表植被消失，对矿山地形地貌影响和破坏程度较严重。因此，矿山露天采场开挖对其可视范围的地形地貌景观影响较严重。</w:t>
      </w:r>
    </w:p>
    <w:p w14:paraId="3F7A7FB0">
      <w:pPr>
        <w:pStyle w:val="178"/>
        <w:topLinePunct/>
        <w:rPr>
          <w:rFonts w:ascii="Times New Roman" w:hAnsi="Times New Roman" w:cs="Times New Roman"/>
          <w:color w:val="000000" w:themeColor="text1"/>
        </w:rPr>
      </w:pPr>
      <w:r>
        <w:rPr>
          <w:rFonts w:ascii="Times New Roman" w:hAnsi="Times New Roman" w:cs="Times New Roman"/>
          <w:color w:val="000000" w:themeColor="text1"/>
        </w:rPr>
        <w:t>因此，综合评估未来采矿活动对矿山地形地貌景观的影响和破坏较严重。</w:t>
      </w:r>
    </w:p>
    <w:p w14:paraId="5F6DE642">
      <w:pPr>
        <w:pStyle w:val="179"/>
        <w:topLinePunct/>
        <w:rPr>
          <w:rFonts w:ascii="Times New Roman" w:hAnsi="Times New Roman" w:cs="Times New Roman"/>
          <w:color w:val="000000" w:themeColor="text1"/>
        </w:rPr>
      </w:pPr>
      <w:r>
        <w:rPr>
          <w:rFonts w:ascii="Times New Roman" w:hAnsi="Times New Roman" w:cs="Times New Roman"/>
          <w:color w:val="000000" w:themeColor="text1"/>
        </w:rPr>
        <w:t>3、土地损毁预测分析</w:t>
      </w:r>
    </w:p>
    <w:p w14:paraId="3D19AED3">
      <w:pPr>
        <w:pStyle w:val="178"/>
        <w:topLinePunct/>
        <w:rPr>
          <w:rFonts w:ascii="Times New Roman" w:hAnsi="Times New Roman" w:cs="Times New Roman"/>
          <w:color w:val="000000" w:themeColor="text1"/>
        </w:rPr>
      </w:pPr>
      <w:r>
        <w:rPr>
          <w:rFonts w:ascii="Times New Roman" w:hAnsi="Times New Roman" w:cs="Times New Roman"/>
          <w:color w:val="000000" w:themeColor="text1"/>
        </w:rPr>
        <w:t>（1）拟损毁土地预测</w:t>
      </w:r>
    </w:p>
    <w:p w14:paraId="41D62C63">
      <w:pPr>
        <w:pStyle w:val="178"/>
        <w:topLinePunct/>
        <w:rPr>
          <w:rFonts w:ascii="Times New Roman" w:hAnsi="Times New Roman" w:cs="Times New Roman"/>
          <w:color w:val="000000" w:themeColor="text1"/>
        </w:rPr>
      </w:pPr>
      <w:r>
        <w:rPr>
          <w:rFonts w:ascii="Times New Roman" w:hAnsi="Times New Roman" w:cs="Times New Roman"/>
          <w:color w:val="000000" w:themeColor="text1"/>
        </w:rPr>
        <w:t>拟损毁土地主要为矿区范围内续采破坏土地。预测矿区范围内续采拟损毁土地面积为</w:t>
      </w:r>
      <w:r>
        <w:rPr>
          <w:rFonts w:hint="eastAsia" w:ascii="Times New Roman" w:hAnsi="Times New Roman" w:cs="Times New Roman"/>
          <w:color w:val="000000" w:themeColor="text1"/>
        </w:rPr>
        <w:t>0.90</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。拟损毁土地预测损毁情况见表3-8。</w:t>
      </w:r>
    </w:p>
    <w:p w14:paraId="08C7ECBC">
      <w:pPr>
        <w:pStyle w:val="178"/>
        <w:topLinePunct/>
        <w:rPr>
          <w:rFonts w:ascii="Times New Roman" w:hAnsi="Times New Roman" w:cs="Times New Roman"/>
          <w:color w:val="000000" w:themeColor="text1"/>
        </w:rPr>
      </w:pPr>
    </w:p>
    <w:p w14:paraId="60DDAA8B">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表3-8 拟损毁土地预测损毁情况</w:t>
      </w:r>
    </w:p>
    <w:tbl>
      <w:tblPr>
        <w:tblStyle w:val="42"/>
        <w:tblW w:w="5064"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747"/>
        <w:gridCol w:w="2035"/>
        <w:gridCol w:w="1058"/>
        <w:gridCol w:w="1716"/>
        <w:gridCol w:w="1506"/>
        <w:gridCol w:w="2154"/>
      </w:tblGrid>
      <w:tr w14:paraId="556D9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180" w:hRule="atLeast"/>
          <w:tblHeader/>
        </w:trPr>
        <w:tc>
          <w:tcPr>
            <w:tcW w:w="2774" w:type="dxa"/>
            <w:gridSpan w:val="2"/>
            <w:tcBorders>
              <w:bottom w:val="single" w:color="auto" w:sz="4" w:space="0"/>
            </w:tcBorders>
            <w:shd w:val="clear" w:color="auto" w:fill="auto"/>
            <w:vAlign w:val="center"/>
          </w:tcPr>
          <w:p w14:paraId="0A3268D8">
            <w:pPr>
              <w:widowControl/>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一级地类</w:t>
            </w:r>
          </w:p>
        </w:tc>
        <w:tc>
          <w:tcPr>
            <w:tcW w:w="2766" w:type="dxa"/>
            <w:gridSpan w:val="2"/>
            <w:tcBorders>
              <w:bottom w:val="single" w:color="auto" w:sz="4" w:space="0"/>
            </w:tcBorders>
            <w:shd w:val="clear" w:color="auto" w:fill="auto"/>
            <w:vAlign w:val="center"/>
          </w:tcPr>
          <w:p w14:paraId="4A1CB61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二级地类</w:t>
            </w:r>
          </w:p>
        </w:tc>
        <w:tc>
          <w:tcPr>
            <w:tcW w:w="1501" w:type="dxa"/>
            <w:vMerge w:val="restart"/>
            <w:shd w:val="clear" w:color="auto" w:fill="auto"/>
            <w:vAlign w:val="center"/>
          </w:tcPr>
          <w:p w14:paraId="3A48526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面积（h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2146" w:type="dxa"/>
            <w:vMerge w:val="restart"/>
            <w:shd w:val="clear" w:color="auto" w:fill="auto"/>
            <w:vAlign w:val="center"/>
          </w:tcPr>
          <w:p w14:paraId="4C3F9A36">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占总面积比例（%）</w:t>
            </w:r>
          </w:p>
        </w:tc>
      </w:tr>
      <w:tr w14:paraId="06B0983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25" w:hRule="atLeast"/>
          <w:tblHeader/>
        </w:trPr>
        <w:tc>
          <w:tcPr>
            <w:tcW w:w="745" w:type="dxa"/>
            <w:tcBorders>
              <w:top w:val="single" w:color="auto" w:sz="4" w:space="0"/>
            </w:tcBorders>
            <w:shd w:val="clear" w:color="auto" w:fill="auto"/>
            <w:vAlign w:val="center"/>
          </w:tcPr>
          <w:p w14:paraId="41606745">
            <w:pPr>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编码</w:t>
            </w:r>
          </w:p>
        </w:tc>
        <w:tc>
          <w:tcPr>
            <w:tcW w:w="2029" w:type="dxa"/>
            <w:tcBorders>
              <w:top w:val="single" w:color="auto" w:sz="4" w:space="0"/>
            </w:tcBorders>
            <w:shd w:val="clear" w:color="auto" w:fill="auto"/>
            <w:vAlign w:val="center"/>
          </w:tcPr>
          <w:p w14:paraId="4E32D169">
            <w:pPr>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名称</w:t>
            </w:r>
          </w:p>
        </w:tc>
        <w:tc>
          <w:tcPr>
            <w:tcW w:w="1055" w:type="dxa"/>
            <w:tcBorders>
              <w:top w:val="single" w:color="auto" w:sz="4" w:space="0"/>
            </w:tcBorders>
            <w:shd w:val="clear" w:color="auto" w:fill="auto"/>
            <w:vAlign w:val="center"/>
          </w:tcPr>
          <w:p w14:paraId="175B861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编码</w:t>
            </w:r>
          </w:p>
        </w:tc>
        <w:tc>
          <w:tcPr>
            <w:tcW w:w="1711" w:type="dxa"/>
            <w:tcBorders>
              <w:top w:val="single" w:color="auto" w:sz="4" w:space="0"/>
            </w:tcBorders>
            <w:shd w:val="clear" w:color="auto" w:fill="auto"/>
            <w:vAlign w:val="center"/>
          </w:tcPr>
          <w:p w14:paraId="66B1AE6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名称</w:t>
            </w:r>
          </w:p>
        </w:tc>
        <w:tc>
          <w:tcPr>
            <w:tcW w:w="1501" w:type="dxa"/>
            <w:vMerge w:val="continue"/>
            <w:shd w:val="clear" w:color="auto" w:fill="auto"/>
            <w:vAlign w:val="center"/>
          </w:tcPr>
          <w:p w14:paraId="0B5806DA">
            <w:pPr>
              <w:widowControl/>
              <w:snapToGrid w:val="0"/>
              <w:jc w:val="center"/>
              <w:rPr>
                <w:rFonts w:ascii="Times New Roman" w:hAnsi="Times New Roman" w:cs="Times New Roman"/>
                <w:color w:val="000000" w:themeColor="text1"/>
                <w:kern w:val="0"/>
                <w:sz w:val="24"/>
                <w:szCs w:val="24"/>
              </w:rPr>
            </w:pPr>
          </w:p>
        </w:tc>
        <w:tc>
          <w:tcPr>
            <w:tcW w:w="2146" w:type="dxa"/>
            <w:vMerge w:val="continue"/>
            <w:shd w:val="clear" w:color="auto" w:fill="auto"/>
            <w:vAlign w:val="center"/>
          </w:tcPr>
          <w:p w14:paraId="69A8D771">
            <w:pPr>
              <w:widowControl/>
              <w:snapToGrid w:val="0"/>
              <w:jc w:val="center"/>
              <w:rPr>
                <w:rFonts w:ascii="Times New Roman" w:hAnsi="Times New Roman" w:cs="Times New Roman"/>
                <w:color w:val="000000" w:themeColor="text1"/>
                <w:kern w:val="0"/>
                <w:sz w:val="24"/>
                <w:szCs w:val="24"/>
              </w:rPr>
            </w:pPr>
          </w:p>
        </w:tc>
      </w:tr>
      <w:tr w14:paraId="4552E9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745" w:type="dxa"/>
            <w:vMerge w:val="restart"/>
            <w:shd w:val="clear" w:color="auto" w:fill="auto"/>
            <w:vAlign w:val="center"/>
          </w:tcPr>
          <w:p w14:paraId="4EE0B66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w:t>
            </w:r>
          </w:p>
        </w:tc>
        <w:tc>
          <w:tcPr>
            <w:tcW w:w="2029" w:type="dxa"/>
            <w:vMerge w:val="restart"/>
            <w:shd w:val="clear" w:color="auto" w:fill="auto"/>
            <w:vAlign w:val="center"/>
          </w:tcPr>
          <w:p w14:paraId="5D8E6726">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耕地</w:t>
            </w:r>
          </w:p>
        </w:tc>
        <w:tc>
          <w:tcPr>
            <w:tcW w:w="1055" w:type="dxa"/>
            <w:shd w:val="clear" w:color="auto" w:fill="auto"/>
            <w:vAlign w:val="center"/>
          </w:tcPr>
          <w:p w14:paraId="66CD09C6">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0103</w:t>
            </w:r>
          </w:p>
        </w:tc>
        <w:tc>
          <w:tcPr>
            <w:tcW w:w="1711" w:type="dxa"/>
            <w:shd w:val="clear" w:color="auto" w:fill="auto"/>
            <w:vAlign w:val="center"/>
          </w:tcPr>
          <w:p w14:paraId="57650D0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旱地</w:t>
            </w:r>
          </w:p>
        </w:tc>
        <w:tc>
          <w:tcPr>
            <w:tcW w:w="1501" w:type="dxa"/>
            <w:shd w:val="clear" w:color="auto" w:fill="auto"/>
            <w:vAlign w:val="center"/>
          </w:tcPr>
          <w:p w14:paraId="158D55E4">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0.20</w:t>
            </w:r>
          </w:p>
        </w:tc>
        <w:tc>
          <w:tcPr>
            <w:tcW w:w="2146" w:type="dxa"/>
            <w:shd w:val="clear" w:color="auto" w:fill="auto"/>
            <w:vAlign w:val="center"/>
          </w:tcPr>
          <w:p w14:paraId="1C01974D">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22.22 </w:t>
            </w:r>
          </w:p>
        </w:tc>
      </w:tr>
      <w:tr w14:paraId="4BE2DC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745" w:type="dxa"/>
            <w:vMerge w:val="continue"/>
            <w:shd w:val="clear" w:color="auto" w:fill="auto"/>
            <w:vAlign w:val="center"/>
          </w:tcPr>
          <w:p w14:paraId="05B394FB">
            <w:pPr>
              <w:widowControl/>
              <w:snapToGrid w:val="0"/>
              <w:jc w:val="center"/>
              <w:rPr>
                <w:rFonts w:ascii="Times New Roman" w:hAnsi="Times New Roman" w:cs="Times New Roman"/>
                <w:color w:val="000000" w:themeColor="text1"/>
                <w:kern w:val="0"/>
                <w:sz w:val="24"/>
                <w:szCs w:val="24"/>
              </w:rPr>
            </w:pPr>
          </w:p>
        </w:tc>
        <w:tc>
          <w:tcPr>
            <w:tcW w:w="2029" w:type="dxa"/>
            <w:vMerge w:val="continue"/>
            <w:shd w:val="clear" w:color="auto" w:fill="auto"/>
            <w:vAlign w:val="center"/>
          </w:tcPr>
          <w:p w14:paraId="396E37D3">
            <w:pPr>
              <w:widowControl/>
              <w:snapToGrid w:val="0"/>
              <w:jc w:val="center"/>
              <w:rPr>
                <w:rFonts w:ascii="Times New Roman" w:hAnsi="Times New Roman" w:cs="Times New Roman"/>
                <w:color w:val="000000" w:themeColor="text1"/>
                <w:kern w:val="0"/>
                <w:sz w:val="24"/>
                <w:szCs w:val="24"/>
              </w:rPr>
            </w:pPr>
          </w:p>
        </w:tc>
        <w:tc>
          <w:tcPr>
            <w:tcW w:w="1055" w:type="dxa"/>
            <w:shd w:val="clear" w:color="auto" w:fill="auto"/>
            <w:vAlign w:val="center"/>
          </w:tcPr>
          <w:p w14:paraId="4E0FAED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c>
          <w:tcPr>
            <w:tcW w:w="1711" w:type="dxa"/>
            <w:shd w:val="clear" w:color="auto" w:fill="auto"/>
            <w:vAlign w:val="center"/>
          </w:tcPr>
          <w:p w14:paraId="6DC62545">
            <w:pPr>
              <w:widowControl/>
              <w:snapToGrid w:val="0"/>
              <w:jc w:val="center"/>
              <w:rPr>
                <w:rFonts w:ascii="Times New Roman" w:hAnsi="Times New Roman" w:cs="Times New Roman"/>
                <w:color w:val="000000" w:themeColor="text1"/>
                <w:kern w:val="0"/>
                <w:sz w:val="24"/>
                <w:szCs w:val="24"/>
              </w:rPr>
            </w:pPr>
          </w:p>
        </w:tc>
        <w:tc>
          <w:tcPr>
            <w:tcW w:w="1501" w:type="dxa"/>
            <w:shd w:val="clear" w:color="auto" w:fill="auto"/>
            <w:vAlign w:val="center"/>
          </w:tcPr>
          <w:p w14:paraId="79C59A58">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0.20</w:t>
            </w:r>
          </w:p>
        </w:tc>
        <w:tc>
          <w:tcPr>
            <w:tcW w:w="2146" w:type="dxa"/>
            <w:shd w:val="clear" w:color="auto" w:fill="auto"/>
            <w:vAlign w:val="center"/>
          </w:tcPr>
          <w:p w14:paraId="7FDD0AF4">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22.22 </w:t>
            </w:r>
          </w:p>
        </w:tc>
      </w:tr>
      <w:tr w14:paraId="4CCAB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745" w:type="dxa"/>
            <w:vMerge w:val="restart"/>
            <w:shd w:val="clear" w:color="auto" w:fill="auto"/>
            <w:vAlign w:val="center"/>
          </w:tcPr>
          <w:p w14:paraId="67AFA2A4">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04</w:t>
            </w:r>
          </w:p>
        </w:tc>
        <w:tc>
          <w:tcPr>
            <w:tcW w:w="2029" w:type="dxa"/>
            <w:vMerge w:val="restart"/>
            <w:shd w:val="clear" w:color="auto" w:fill="auto"/>
            <w:vAlign w:val="center"/>
          </w:tcPr>
          <w:p w14:paraId="3C9E0917">
            <w:pPr>
              <w:widowControl/>
              <w:snapToGrid w:val="0"/>
              <w:jc w:val="center"/>
              <w:rPr>
                <w:rFonts w:ascii="Times New Roman" w:hAnsi="Times New Roman" w:cs="Times New Roman"/>
                <w:color w:val="000000" w:themeColor="text1"/>
                <w:kern w:val="0"/>
                <w:sz w:val="24"/>
                <w:szCs w:val="24"/>
              </w:rPr>
            </w:pPr>
            <w:r>
              <w:rPr>
                <w:rFonts w:hint="eastAsia" w:ascii="宋体" w:hAnsi="宋体" w:cs="宋体"/>
                <w:color w:val="000000" w:themeColor="text1"/>
                <w:kern w:val="0"/>
                <w:sz w:val="24"/>
                <w:szCs w:val="24"/>
              </w:rPr>
              <w:t>草地</w:t>
            </w:r>
          </w:p>
        </w:tc>
        <w:tc>
          <w:tcPr>
            <w:tcW w:w="1055" w:type="dxa"/>
            <w:shd w:val="clear" w:color="auto" w:fill="auto"/>
            <w:vAlign w:val="center"/>
          </w:tcPr>
          <w:p w14:paraId="12D49C04">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0404</w:t>
            </w:r>
          </w:p>
        </w:tc>
        <w:tc>
          <w:tcPr>
            <w:tcW w:w="1711" w:type="dxa"/>
            <w:shd w:val="clear" w:color="auto" w:fill="auto"/>
            <w:vAlign w:val="center"/>
          </w:tcPr>
          <w:p w14:paraId="17FAC494">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其他草地</w:t>
            </w:r>
          </w:p>
        </w:tc>
        <w:tc>
          <w:tcPr>
            <w:tcW w:w="1501" w:type="dxa"/>
            <w:shd w:val="clear" w:color="auto" w:fill="auto"/>
          </w:tcPr>
          <w:p w14:paraId="5D86354D">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w:t>
            </w:r>
            <w:r>
              <w:rPr>
                <w:rFonts w:hint="eastAsia" w:ascii="Times New Roman" w:hAnsi="Times New Roman" w:cs="Times New Roman"/>
                <w:color w:val="000000" w:themeColor="text1"/>
                <w:kern w:val="0"/>
                <w:sz w:val="24"/>
                <w:szCs w:val="24"/>
              </w:rPr>
              <w:t>70</w:t>
            </w:r>
          </w:p>
        </w:tc>
        <w:tc>
          <w:tcPr>
            <w:tcW w:w="2146" w:type="dxa"/>
            <w:shd w:val="clear" w:color="auto" w:fill="auto"/>
            <w:vAlign w:val="center"/>
          </w:tcPr>
          <w:p w14:paraId="586FC83C">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77.78 </w:t>
            </w:r>
          </w:p>
        </w:tc>
      </w:tr>
      <w:tr w14:paraId="16C995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745" w:type="dxa"/>
            <w:vMerge w:val="continue"/>
            <w:shd w:val="clear" w:color="auto" w:fill="auto"/>
            <w:vAlign w:val="center"/>
          </w:tcPr>
          <w:p w14:paraId="5455EBF5">
            <w:pPr>
              <w:widowControl/>
              <w:snapToGrid w:val="0"/>
              <w:jc w:val="center"/>
              <w:rPr>
                <w:rFonts w:ascii="Times New Roman" w:hAnsi="Times New Roman" w:cs="Times New Roman"/>
                <w:color w:val="000000" w:themeColor="text1"/>
                <w:kern w:val="0"/>
                <w:sz w:val="24"/>
                <w:szCs w:val="24"/>
              </w:rPr>
            </w:pPr>
          </w:p>
        </w:tc>
        <w:tc>
          <w:tcPr>
            <w:tcW w:w="2029" w:type="dxa"/>
            <w:vMerge w:val="continue"/>
            <w:shd w:val="clear" w:color="auto" w:fill="auto"/>
            <w:vAlign w:val="center"/>
          </w:tcPr>
          <w:p w14:paraId="5DF942B6">
            <w:pPr>
              <w:widowControl/>
              <w:snapToGrid w:val="0"/>
              <w:jc w:val="center"/>
              <w:rPr>
                <w:rFonts w:ascii="Times New Roman" w:hAnsi="Times New Roman" w:cs="Times New Roman"/>
                <w:color w:val="000000" w:themeColor="text1"/>
                <w:kern w:val="0"/>
                <w:sz w:val="24"/>
                <w:szCs w:val="24"/>
              </w:rPr>
            </w:pPr>
          </w:p>
        </w:tc>
        <w:tc>
          <w:tcPr>
            <w:tcW w:w="1055" w:type="dxa"/>
            <w:shd w:val="clear" w:color="auto" w:fill="auto"/>
            <w:vAlign w:val="center"/>
          </w:tcPr>
          <w:p w14:paraId="42411DB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c>
          <w:tcPr>
            <w:tcW w:w="1711" w:type="dxa"/>
            <w:shd w:val="clear" w:color="auto" w:fill="auto"/>
            <w:vAlign w:val="center"/>
          </w:tcPr>
          <w:p w14:paraId="425991F2">
            <w:pPr>
              <w:widowControl/>
              <w:snapToGrid w:val="0"/>
              <w:jc w:val="center"/>
              <w:rPr>
                <w:rFonts w:ascii="Times New Roman" w:hAnsi="Times New Roman" w:cs="Times New Roman"/>
                <w:color w:val="000000" w:themeColor="text1"/>
                <w:kern w:val="0"/>
                <w:sz w:val="24"/>
                <w:szCs w:val="24"/>
              </w:rPr>
            </w:pPr>
          </w:p>
        </w:tc>
        <w:tc>
          <w:tcPr>
            <w:tcW w:w="1501" w:type="dxa"/>
            <w:shd w:val="clear" w:color="auto" w:fill="auto"/>
          </w:tcPr>
          <w:p w14:paraId="751776E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w:t>
            </w:r>
            <w:r>
              <w:rPr>
                <w:rFonts w:hint="eastAsia" w:ascii="Times New Roman" w:hAnsi="Times New Roman" w:cs="Times New Roman"/>
                <w:color w:val="000000" w:themeColor="text1"/>
                <w:kern w:val="0"/>
                <w:sz w:val="24"/>
                <w:szCs w:val="24"/>
              </w:rPr>
              <w:t>70</w:t>
            </w:r>
          </w:p>
        </w:tc>
        <w:tc>
          <w:tcPr>
            <w:tcW w:w="2146" w:type="dxa"/>
            <w:shd w:val="clear" w:color="auto" w:fill="auto"/>
            <w:vAlign w:val="center"/>
          </w:tcPr>
          <w:p w14:paraId="001B968D">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77.78 </w:t>
            </w:r>
          </w:p>
        </w:tc>
      </w:tr>
      <w:tr w14:paraId="0FAF32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5540" w:type="dxa"/>
            <w:gridSpan w:val="4"/>
            <w:shd w:val="clear" w:color="auto" w:fill="auto"/>
            <w:vAlign w:val="center"/>
          </w:tcPr>
          <w:p w14:paraId="60BE2EA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1501" w:type="dxa"/>
            <w:shd w:val="clear" w:color="auto" w:fill="auto"/>
            <w:vAlign w:val="center"/>
          </w:tcPr>
          <w:p w14:paraId="4FE1B73E">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0.90</w:t>
            </w:r>
          </w:p>
        </w:tc>
        <w:tc>
          <w:tcPr>
            <w:tcW w:w="2146" w:type="dxa"/>
            <w:shd w:val="clear" w:color="auto" w:fill="auto"/>
            <w:noWrap/>
            <w:vAlign w:val="center"/>
          </w:tcPr>
          <w:p w14:paraId="1201149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100.00</w:t>
            </w:r>
          </w:p>
        </w:tc>
      </w:tr>
    </w:tbl>
    <w:p w14:paraId="0F2862B8">
      <w:pPr>
        <w:pStyle w:val="182"/>
        <w:widowControl w:val="0"/>
        <w:topLinePunct/>
        <w:ind w:firstLine="0" w:firstLineChars="0"/>
        <w:rPr>
          <w:rFonts w:ascii="Times New Roman" w:hAnsi="Times New Roman"/>
          <w:color w:val="000000" w:themeColor="text1"/>
        </w:rPr>
      </w:pPr>
    </w:p>
    <w:p w14:paraId="509287CD">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（2）土地损毁程度分析</w:t>
      </w:r>
    </w:p>
    <w:p w14:paraId="3FDB22C5">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项目用地土地损毁方式包括压占、挖损等不同类型，不同损毁方式对土壤和地表植被破坏程度不同，复垦工艺难易程度不同，将土地损毁评价的等级分为3级：一级（轻度损毁）、二级（中度损毁）、三级（重度损毁）。参照“木桶原理”，各类用地的土地损毁程度取决于最差因子的情况，具体详见表3-9：</w:t>
      </w:r>
    </w:p>
    <w:p w14:paraId="40A46739">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表3-9土地损毁程度标准表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24"/>
        <w:gridCol w:w="1864"/>
        <w:gridCol w:w="2028"/>
        <w:gridCol w:w="3570"/>
      </w:tblGrid>
      <w:tr w14:paraId="016A5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blHeader/>
        </w:trPr>
        <w:tc>
          <w:tcPr>
            <w:tcW w:w="1674" w:type="dxa"/>
            <w:vAlign w:val="center"/>
          </w:tcPr>
          <w:p w14:paraId="6C81B3C8">
            <w:pPr>
              <w:widowControl/>
              <w:snapToGrid w:val="0"/>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项目</w:t>
            </w:r>
          </w:p>
        </w:tc>
        <w:tc>
          <w:tcPr>
            <w:tcW w:w="1711" w:type="dxa"/>
            <w:vAlign w:val="center"/>
          </w:tcPr>
          <w:p w14:paraId="032EA127">
            <w:pPr>
              <w:widowControl/>
              <w:snapToGrid w:val="0"/>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轻度损毁</w:t>
            </w:r>
          </w:p>
        </w:tc>
        <w:tc>
          <w:tcPr>
            <w:tcW w:w="1861" w:type="dxa"/>
            <w:vAlign w:val="center"/>
          </w:tcPr>
          <w:p w14:paraId="2745D147">
            <w:pPr>
              <w:widowControl/>
              <w:snapToGrid w:val="0"/>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中度损毁</w:t>
            </w:r>
          </w:p>
        </w:tc>
        <w:tc>
          <w:tcPr>
            <w:tcW w:w="3276" w:type="dxa"/>
            <w:vAlign w:val="center"/>
          </w:tcPr>
          <w:p w14:paraId="3B763EEF">
            <w:pPr>
              <w:widowControl/>
              <w:snapToGrid w:val="0"/>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重度损毁</w:t>
            </w:r>
          </w:p>
        </w:tc>
      </w:tr>
      <w:tr w14:paraId="184BF2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674" w:type="dxa"/>
            <w:vAlign w:val="center"/>
          </w:tcPr>
          <w:p w14:paraId="36A5E0E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损毁方式</w:t>
            </w:r>
          </w:p>
        </w:tc>
        <w:tc>
          <w:tcPr>
            <w:tcW w:w="1711" w:type="dxa"/>
            <w:vAlign w:val="center"/>
          </w:tcPr>
          <w:p w14:paraId="3B82987D">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压占</w:t>
            </w:r>
          </w:p>
        </w:tc>
        <w:tc>
          <w:tcPr>
            <w:tcW w:w="1861" w:type="dxa"/>
            <w:vAlign w:val="center"/>
          </w:tcPr>
          <w:p w14:paraId="25C5EEE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压占、挖损</w:t>
            </w:r>
          </w:p>
        </w:tc>
        <w:tc>
          <w:tcPr>
            <w:tcW w:w="3276" w:type="dxa"/>
            <w:vAlign w:val="center"/>
          </w:tcPr>
          <w:p w14:paraId="1D3E5D9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挖损、压占</w:t>
            </w:r>
          </w:p>
        </w:tc>
      </w:tr>
      <w:tr w14:paraId="00EA9B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674" w:type="dxa"/>
            <w:vAlign w:val="center"/>
          </w:tcPr>
          <w:p w14:paraId="7D0A563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用地时间</w:t>
            </w:r>
          </w:p>
        </w:tc>
        <w:tc>
          <w:tcPr>
            <w:tcW w:w="1711" w:type="dxa"/>
            <w:vAlign w:val="center"/>
          </w:tcPr>
          <w:p w14:paraId="04E0607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&lt;2年</w:t>
            </w:r>
          </w:p>
        </w:tc>
        <w:tc>
          <w:tcPr>
            <w:tcW w:w="1861" w:type="dxa"/>
            <w:vAlign w:val="center"/>
          </w:tcPr>
          <w:p w14:paraId="44D973E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2-5年</w:t>
            </w:r>
          </w:p>
        </w:tc>
        <w:tc>
          <w:tcPr>
            <w:tcW w:w="3276" w:type="dxa"/>
            <w:vAlign w:val="center"/>
          </w:tcPr>
          <w:p w14:paraId="0C164536">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&gt;5年</w:t>
            </w:r>
          </w:p>
        </w:tc>
      </w:tr>
      <w:tr w14:paraId="74C4E5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674" w:type="dxa"/>
            <w:vAlign w:val="center"/>
          </w:tcPr>
          <w:p w14:paraId="12C8CE8D">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植被破坏程度</w:t>
            </w:r>
          </w:p>
        </w:tc>
        <w:tc>
          <w:tcPr>
            <w:tcW w:w="1711" w:type="dxa"/>
            <w:vAlign w:val="center"/>
          </w:tcPr>
          <w:p w14:paraId="2A9FD7D6">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轻度</w:t>
            </w:r>
          </w:p>
        </w:tc>
        <w:tc>
          <w:tcPr>
            <w:tcW w:w="1861" w:type="dxa"/>
            <w:vAlign w:val="center"/>
          </w:tcPr>
          <w:p w14:paraId="7957AAB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中度</w:t>
            </w:r>
          </w:p>
        </w:tc>
        <w:tc>
          <w:tcPr>
            <w:tcW w:w="3276" w:type="dxa"/>
            <w:vAlign w:val="center"/>
          </w:tcPr>
          <w:p w14:paraId="02DF50A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r>
      <w:tr w14:paraId="6AFC6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674" w:type="dxa"/>
            <w:vAlign w:val="center"/>
          </w:tcPr>
          <w:p w14:paraId="07A432D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复垦难易程度</w:t>
            </w:r>
          </w:p>
        </w:tc>
        <w:tc>
          <w:tcPr>
            <w:tcW w:w="1711" w:type="dxa"/>
            <w:vAlign w:val="center"/>
          </w:tcPr>
          <w:p w14:paraId="1CFB5DE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较易，简单平整管护</w:t>
            </w:r>
          </w:p>
        </w:tc>
        <w:tc>
          <w:tcPr>
            <w:tcW w:w="1861" w:type="dxa"/>
            <w:vAlign w:val="center"/>
          </w:tcPr>
          <w:p w14:paraId="3D20ECA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中等，简单清理，以土方工程为主</w:t>
            </w:r>
          </w:p>
        </w:tc>
        <w:tc>
          <w:tcPr>
            <w:tcW w:w="3276" w:type="dxa"/>
            <w:vAlign w:val="center"/>
          </w:tcPr>
          <w:p w14:paraId="4A6CED0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较难，混凝土拆除，土石方运输，沟路渠配套建设</w:t>
            </w:r>
          </w:p>
        </w:tc>
      </w:tr>
    </w:tbl>
    <w:p w14:paraId="6B6E3F36">
      <w:pPr>
        <w:pStyle w:val="178"/>
        <w:topLinePunct/>
        <w:rPr>
          <w:rFonts w:ascii="Times New Roman" w:hAnsi="Times New Roman" w:cs="Times New Roman"/>
          <w:color w:val="000000" w:themeColor="text1"/>
        </w:rPr>
      </w:pPr>
      <w:r>
        <w:rPr>
          <w:rFonts w:ascii="Times New Roman" w:hAnsi="Times New Roman" w:cs="Times New Roman"/>
          <w:color w:val="000000" w:themeColor="text1"/>
        </w:rPr>
        <w:t>由于本项目植被破坏程度为重度，结合上述标准，土地损毁程度为重度，因此本项目各类用地土地损毁程度详见表3-10：</w:t>
      </w:r>
    </w:p>
    <w:p w14:paraId="041663A3">
      <w:pPr>
        <w:pStyle w:val="178"/>
        <w:topLinePunct/>
        <w:rPr>
          <w:rFonts w:ascii="Times New Roman" w:hAnsi="Times New Roman" w:cs="Times New Roman"/>
          <w:color w:val="000000" w:themeColor="text1"/>
        </w:rPr>
      </w:pPr>
    </w:p>
    <w:p w14:paraId="4BDF5505">
      <w:pPr>
        <w:pStyle w:val="178"/>
        <w:topLinePunct/>
        <w:rPr>
          <w:rFonts w:ascii="Times New Roman" w:hAnsi="Times New Roman" w:cs="Times New Roman"/>
          <w:color w:val="000000" w:themeColor="text1"/>
        </w:rPr>
      </w:pPr>
    </w:p>
    <w:p w14:paraId="3E2DC962">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表3-10 损毁土地损毁程度统计表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1012"/>
        <w:gridCol w:w="724"/>
        <w:gridCol w:w="1192"/>
        <w:gridCol w:w="994"/>
        <w:gridCol w:w="1986"/>
        <w:gridCol w:w="1390"/>
        <w:gridCol w:w="994"/>
        <w:gridCol w:w="994"/>
      </w:tblGrid>
      <w:tr w14:paraId="29DCC356">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PrEx>
        <w:trPr>
          <w:trHeight w:val="20" w:hRule="atLeast"/>
          <w:tblHeader/>
          <w:jc w:val="center"/>
        </w:trPr>
        <w:tc>
          <w:tcPr>
            <w:tcW w:w="1012" w:type="dxa"/>
            <w:vAlign w:val="center"/>
          </w:tcPr>
          <w:p w14:paraId="4667327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占地</w:t>
            </w:r>
          </w:p>
          <w:p w14:paraId="3A7D372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范围</w:t>
            </w:r>
          </w:p>
        </w:tc>
        <w:tc>
          <w:tcPr>
            <w:tcW w:w="1916" w:type="dxa"/>
            <w:gridSpan w:val="2"/>
            <w:vAlign w:val="center"/>
          </w:tcPr>
          <w:p w14:paraId="68CF1C7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一级地类</w:t>
            </w:r>
          </w:p>
        </w:tc>
        <w:tc>
          <w:tcPr>
            <w:tcW w:w="2980" w:type="dxa"/>
            <w:gridSpan w:val="2"/>
            <w:vAlign w:val="center"/>
          </w:tcPr>
          <w:p w14:paraId="4D98AD4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二级地类</w:t>
            </w:r>
          </w:p>
        </w:tc>
        <w:tc>
          <w:tcPr>
            <w:tcW w:w="1390" w:type="dxa"/>
            <w:vAlign w:val="center"/>
          </w:tcPr>
          <w:p w14:paraId="53FF62F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面积</w:t>
            </w:r>
          </w:p>
          <w:p w14:paraId="0299C96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994" w:type="dxa"/>
            <w:vAlign w:val="center"/>
          </w:tcPr>
          <w:p w14:paraId="1910106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损毁</w:t>
            </w:r>
          </w:p>
          <w:p w14:paraId="7F3A6FE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方式</w:t>
            </w:r>
          </w:p>
        </w:tc>
        <w:tc>
          <w:tcPr>
            <w:tcW w:w="994" w:type="dxa"/>
            <w:vAlign w:val="center"/>
          </w:tcPr>
          <w:p w14:paraId="46A9FDB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损毁</w:t>
            </w:r>
          </w:p>
          <w:p w14:paraId="58ED253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程度</w:t>
            </w:r>
          </w:p>
        </w:tc>
      </w:tr>
      <w:tr w14:paraId="6193EDB5">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012" w:type="dxa"/>
            <w:vMerge w:val="restart"/>
            <w:shd w:val="clear" w:color="auto" w:fill="auto"/>
            <w:vAlign w:val="center"/>
          </w:tcPr>
          <w:p w14:paraId="7EF43B4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露天采场拟损毁区</w:t>
            </w:r>
          </w:p>
        </w:tc>
        <w:tc>
          <w:tcPr>
            <w:tcW w:w="724" w:type="dxa"/>
            <w:vAlign w:val="center"/>
          </w:tcPr>
          <w:p w14:paraId="3C54B8F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w:t>
            </w:r>
          </w:p>
        </w:tc>
        <w:tc>
          <w:tcPr>
            <w:tcW w:w="1192" w:type="dxa"/>
            <w:vAlign w:val="center"/>
          </w:tcPr>
          <w:p w14:paraId="2A740E9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耕地</w:t>
            </w:r>
          </w:p>
        </w:tc>
        <w:tc>
          <w:tcPr>
            <w:tcW w:w="994" w:type="dxa"/>
            <w:tcBorders>
              <w:bottom w:val="single" w:color="auto" w:sz="4" w:space="0"/>
            </w:tcBorders>
            <w:vAlign w:val="center"/>
          </w:tcPr>
          <w:p w14:paraId="27AD604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0103</w:t>
            </w:r>
          </w:p>
        </w:tc>
        <w:tc>
          <w:tcPr>
            <w:tcW w:w="1986" w:type="dxa"/>
            <w:tcBorders>
              <w:bottom w:val="single" w:color="auto" w:sz="4" w:space="0"/>
            </w:tcBorders>
            <w:vAlign w:val="center"/>
          </w:tcPr>
          <w:p w14:paraId="1A78F0C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旱地</w:t>
            </w:r>
          </w:p>
        </w:tc>
        <w:tc>
          <w:tcPr>
            <w:tcW w:w="1390" w:type="dxa"/>
            <w:tcBorders>
              <w:bottom w:val="single" w:color="auto" w:sz="4" w:space="0"/>
            </w:tcBorders>
            <w:vAlign w:val="center"/>
          </w:tcPr>
          <w:p w14:paraId="091CB9CC">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0.20</w:t>
            </w:r>
          </w:p>
        </w:tc>
        <w:tc>
          <w:tcPr>
            <w:tcW w:w="994" w:type="dxa"/>
            <w:tcBorders>
              <w:bottom w:val="single" w:color="auto" w:sz="4" w:space="0"/>
            </w:tcBorders>
            <w:vAlign w:val="center"/>
          </w:tcPr>
          <w:p w14:paraId="2453935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挖损</w:t>
            </w:r>
          </w:p>
        </w:tc>
        <w:tc>
          <w:tcPr>
            <w:tcW w:w="994" w:type="dxa"/>
            <w:tcBorders>
              <w:bottom w:val="single" w:color="auto" w:sz="4" w:space="0"/>
            </w:tcBorders>
            <w:vAlign w:val="center"/>
          </w:tcPr>
          <w:p w14:paraId="0853D9C4">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r>
      <w:tr w14:paraId="09E21862">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012" w:type="dxa"/>
            <w:vMerge w:val="continue"/>
            <w:tcBorders>
              <w:bottom w:val="single" w:color="auto" w:sz="4" w:space="0"/>
            </w:tcBorders>
            <w:shd w:val="clear" w:color="auto" w:fill="auto"/>
            <w:vAlign w:val="center"/>
          </w:tcPr>
          <w:p w14:paraId="42A51C4D">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724" w:type="dxa"/>
            <w:tcBorders>
              <w:bottom w:val="single" w:color="auto" w:sz="4" w:space="0"/>
            </w:tcBorders>
            <w:vAlign w:val="center"/>
          </w:tcPr>
          <w:p w14:paraId="097FBB1D">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04</w:t>
            </w:r>
          </w:p>
        </w:tc>
        <w:tc>
          <w:tcPr>
            <w:tcW w:w="1192" w:type="dxa"/>
            <w:tcBorders>
              <w:bottom w:val="single" w:color="auto" w:sz="4" w:space="0"/>
            </w:tcBorders>
            <w:vAlign w:val="center"/>
          </w:tcPr>
          <w:p w14:paraId="1F17F719">
            <w:pPr>
              <w:widowControl/>
              <w:snapToGrid w:val="0"/>
              <w:jc w:val="center"/>
              <w:rPr>
                <w:rFonts w:ascii="Times New Roman" w:hAnsi="Times New Roman" w:cs="Times New Roman"/>
                <w:color w:val="000000" w:themeColor="text1"/>
                <w:kern w:val="0"/>
                <w:sz w:val="24"/>
                <w:szCs w:val="24"/>
              </w:rPr>
            </w:pPr>
            <w:r>
              <w:rPr>
                <w:rFonts w:hint="eastAsia" w:ascii="宋体" w:hAnsi="宋体" w:cs="宋体"/>
                <w:color w:val="000000" w:themeColor="text1"/>
                <w:kern w:val="0"/>
                <w:sz w:val="24"/>
                <w:szCs w:val="24"/>
              </w:rPr>
              <w:t>草地</w:t>
            </w:r>
          </w:p>
        </w:tc>
        <w:tc>
          <w:tcPr>
            <w:tcW w:w="994" w:type="dxa"/>
            <w:tcBorders>
              <w:bottom w:val="single" w:color="auto" w:sz="4" w:space="0"/>
            </w:tcBorders>
            <w:vAlign w:val="center"/>
          </w:tcPr>
          <w:p w14:paraId="60F3895F">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0404</w:t>
            </w:r>
          </w:p>
        </w:tc>
        <w:tc>
          <w:tcPr>
            <w:tcW w:w="1986" w:type="dxa"/>
            <w:tcBorders>
              <w:bottom w:val="single" w:color="auto" w:sz="4" w:space="0"/>
            </w:tcBorders>
            <w:vAlign w:val="center"/>
          </w:tcPr>
          <w:p w14:paraId="1FAB95FF">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其他草地</w:t>
            </w:r>
          </w:p>
        </w:tc>
        <w:tc>
          <w:tcPr>
            <w:tcW w:w="1390" w:type="dxa"/>
            <w:tcBorders>
              <w:bottom w:val="single" w:color="auto" w:sz="4" w:space="0"/>
            </w:tcBorders>
          </w:tcPr>
          <w:p w14:paraId="6B5ABD2A">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w:t>
            </w:r>
            <w:r>
              <w:rPr>
                <w:rFonts w:hint="eastAsia" w:ascii="Times New Roman" w:hAnsi="Times New Roman" w:cs="Times New Roman"/>
                <w:color w:val="000000" w:themeColor="text1"/>
                <w:kern w:val="0"/>
                <w:sz w:val="24"/>
                <w:szCs w:val="24"/>
              </w:rPr>
              <w:t>70</w:t>
            </w:r>
          </w:p>
        </w:tc>
        <w:tc>
          <w:tcPr>
            <w:tcW w:w="994" w:type="dxa"/>
            <w:tcBorders>
              <w:bottom w:val="single" w:color="auto" w:sz="4" w:space="0"/>
            </w:tcBorders>
            <w:vAlign w:val="center"/>
          </w:tcPr>
          <w:p w14:paraId="4BF339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挖损</w:t>
            </w:r>
          </w:p>
        </w:tc>
        <w:tc>
          <w:tcPr>
            <w:tcW w:w="994" w:type="dxa"/>
            <w:tcBorders>
              <w:bottom w:val="single" w:color="auto" w:sz="4" w:space="0"/>
            </w:tcBorders>
            <w:vAlign w:val="center"/>
          </w:tcPr>
          <w:p w14:paraId="275340A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r>
      <w:tr w14:paraId="3F1A67B7">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5908" w:type="dxa"/>
            <w:gridSpan w:val="5"/>
            <w:vAlign w:val="center"/>
          </w:tcPr>
          <w:p w14:paraId="02A759D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1390" w:type="dxa"/>
            <w:vAlign w:val="center"/>
          </w:tcPr>
          <w:p w14:paraId="7CA587C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0.90</w:t>
            </w:r>
          </w:p>
        </w:tc>
        <w:tc>
          <w:tcPr>
            <w:tcW w:w="994" w:type="dxa"/>
            <w:vAlign w:val="center"/>
          </w:tcPr>
          <w:p w14:paraId="2F7CE88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994" w:type="dxa"/>
            <w:vAlign w:val="center"/>
          </w:tcPr>
          <w:p w14:paraId="523B110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r>
    </w:tbl>
    <w:p w14:paraId="47383912">
      <w:pPr>
        <w:pStyle w:val="179"/>
        <w:topLinePunct/>
        <w:rPr>
          <w:rFonts w:ascii="Times New Roman" w:hAnsi="Times New Roman" w:cs="Times New Roman"/>
          <w:color w:val="000000" w:themeColor="text1"/>
        </w:rPr>
      </w:pPr>
      <w:r>
        <w:rPr>
          <w:rFonts w:ascii="Times New Roman" w:hAnsi="Times New Roman" w:cs="Times New Roman"/>
          <w:color w:val="000000" w:themeColor="text1"/>
        </w:rPr>
        <w:t>4、生态受损与环境污染问题</w:t>
      </w:r>
    </w:p>
    <w:p w14:paraId="7352DE89">
      <w:pPr>
        <w:pStyle w:val="178"/>
        <w:topLinePunct/>
        <w:rPr>
          <w:rFonts w:ascii="Times New Roman" w:hAnsi="Times New Roman" w:cs="Times New Roman"/>
          <w:color w:val="000000" w:themeColor="text1"/>
        </w:rPr>
      </w:pPr>
      <w:r>
        <w:rPr>
          <w:rFonts w:ascii="Times New Roman" w:hAnsi="Times New Roman" w:cs="Times New Roman"/>
          <w:color w:val="000000" w:themeColor="text1"/>
        </w:rPr>
        <w:t>（1）植被损毁</w:t>
      </w:r>
    </w:p>
    <w:p w14:paraId="3F90268E">
      <w:pPr>
        <w:pStyle w:val="178"/>
        <w:topLinePunct/>
        <w:rPr>
          <w:rFonts w:ascii="Times New Roman" w:hAnsi="Times New Roman" w:cs="Times New Roman"/>
          <w:color w:val="000000" w:themeColor="text1"/>
        </w:rPr>
      </w:pPr>
      <w:r>
        <w:rPr>
          <w:rFonts w:ascii="Times New Roman" w:hAnsi="Times New Roman" w:cs="Times New Roman"/>
          <w:color w:val="000000" w:themeColor="text1"/>
        </w:rPr>
        <w:t>植被具有防风固沙、防水土流失功能。矿山开采和加工导致植被完全丧失。物料堆积、践踏等均会改变土壤结构、质地和理化性质，由于人为因素的影响，会新增一定量水土流失。施工中机械碾压、人员践踏等，会造成土壤板结。各种施工活动会对实施区域内的土壤结构造成不同程度的破坏，使土壤的有机质和粘粒含量减少，影响植物正常生长。在开采过程中，需完全清除地面表土后才能进行正常开采，这直接导致植被被破坏、土壤退化。预测植被直接损毁范围包括露天采场</w:t>
      </w:r>
      <w:r>
        <w:rPr>
          <w:rFonts w:hint="eastAsia" w:ascii="Times New Roman" w:hAnsi="Times New Roman" w:cs="Times New Roman"/>
          <w:color w:val="000000" w:themeColor="text1"/>
        </w:rPr>
        <w:t>0.70</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，损毁程度为严重。</w:t>
      </w:r>
    </w:p>
    <w:p w14:paraId="17E5CAAF">
      <w:pPr>
        <w:pStyle w:val="178"/>
        <w:topLinePunct/>
        <w:rPr>
          <w:rFonts w:ascii="Times New Roman" w:hAnsi="Times New Roman" w:cs="Times New Roman"/>
          <w:color w:val="000000" w:themeColor="text1"/>
        </w:rPr>
      </w:pPr>
      <w:r>
        <w:rPr>
          <w:rFonts w:ascii="Times New Roman" w:hAnsi="Times New Roman" w:cs="Times New Roman"/>
          <w:color w:val="000000" w:themeColor="text1"/>
        </w:rPr>
        <w:t>评估区内其他区域：矿山生产过程中产生的无组织粉尘对周边植物产生影响，主要表现在对作物光合作用的影响上。粒径大于1μm的颗粒物在扩散过程中可自然沉降，吸附于植物叶片上，阻塞气孔，影响生长，使叶片褪色、变硬，植物生长不良。粉尘落到田间会影响土壤的透水透气性能，不利于植物吸收土壤的养分，间接造成植物生长缓慢。矿山开采过程中会采取措施洒水降尘，该区域植被损毁程度为较轻。</w:t>
      </w:r>
    </w:p>
    <w:p w14:paraId="4D025F51">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（2）生物多样性丧失</w:t>
      </w:r>
    </w:p>
    <w:p w14:paraId="02D614C2">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矿山开采和加工破坏了自然栖息地，导致物种流离失所和种群下降。矿山开采和加工使土壤退化，抑制了植物生长和土壤生物多样性，损毁程度为严重。预测矿山开采导致生物多样性严重丧失主要集中在露天采场</w:t>
      </w:r>
      <w:r>
        <w:rPr>
          <w:rFonts w:hint="eastAsia" w:ascii="Times New Roman" w:hAnsi="Times New Roman" w:cs="Times New Roman"/>
          <w:color w:val="000000" w:themeColor="text1"/>
        </w:rPr>
        <w:t>0.90</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w:t>
      </w:r>
    </w:p>
    <w:p w14:paraId="62FB124F">
      <w:pPr>
        <w:pStyle w:val="178"/>
        <w:topLinePunct/>
        <w:rPr>
          <w:rFonts w:ascii="Times New Roman" w:hAnsi="Times New Roman" w:cs="Times New Roman"/>
          <w:color w:val="000000" w:themeColor="text1"/>
        </w:rPr>
      </w:pPr>
      <w:r>
        <w:rPr>
          <w:rFonts w:ascii="Times New Roman" w:hAnsi="Times New Roman" w:cs="Times New Roman"/>
          <w:color w:val="000000" w:themeColor="text1"/>
        </w:rPr>
        <w:t>评估区内其他区域：矿山在生产期间，不可避免的会破坏周边动物的生境，使生态系统的组成和结构发生局部改变，建筑的噪声、振动会使矿区附近动物发生迁徙，其影响范围是矿山面积的5倍-10倍。由于植物生境的破坏，使得植被覆盖率降低，再加上动物的迁徙，使系统的总生物量减少，对局部区域的生物量有较大的影响，但项目区附近野生动物较少，所以影响较小。同时，对整个地区生态系统的功能、稳定性不会产生大的影响，也不会引起物种减少。因此，该区域损毁程度为较轻。</w:t>
      </w:r>
    </w:p>
    <w:p w14:paraId="580D1BE3">
      <w:pPr>
        <w:pStyle w:val="178"/>
        <w:topLinePunct/>
        <w:rPr>
          <w:rFonts w:ascii="Times New Roman" w:hAnsi="Times New Roman" w:cs="Times New Roman"/>
          <w:color w:val="000000" w:themeColor="text1"/>
        </w:rPr>
      </w:pPr>
      <w:r>
        <w:rPr>
          <w:rFonts w:ascii="Times New Roman" w:hAnsi="Times New Roman" w:cs="Times New Roman"/>
          <w:color w:val="000000" w:themeColor="text1"/>
        </w:rPr>
        <w:t>3）水土环境污染</w:t>
      </w:r>
    </w:p>
    <w:p w14:paraId="5C0E22B0">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矿山开采不产生有毒有害废水。矿山少量废水主要为生活污水，矿山生活用水2</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d，生活用水由附近村屯取运，生活废水量极小，无毒，经自然沉淀处理后直接排放到附近的自然沟渠。处理后废水可达到《污水综合排放标准》一级标准，不会对水环境产生污染。矿山周边无污染源，现状条件下，矿山采矿活动对水环境污染及影响较轻。粉尘及废气：产生粉尘的主要部位有：采掘、运输等生产过程，</w:t>
      </w:r>
    </w:p>
    <w:p w14:paraId="18FF79FB">
      <w:pPr>
        <w:pStyle w:val="178"/>
        <w:topLinePunct/>
        <w:rPr>
          <w:rFonts w:ascii="Times New Roman" w:hAnsi="Times New Roman" w:cs="Times New Roman"/>
          <w:color w:val="000000" w:themeColor="text1"/>
        </w:rPr>
      </w:pPr>
      <w:r>
        <w:rPr>
          <w:rFonts w:ascii="Times New Roman" w:hAnsi="Times New Roman" w:cs="Times New Roman"/>
          <w:color w:val="000000" w:themeColor="text1"/>
        </w:rPr>
        <w:t>废气主要为尾气。为减少粉尘飞扬和废气污染，由矿山派出洒水车对运输道路洒水，使粉尘和废气污染降到最低。</w:t>
      </w:r>
    </w:p>
    <w:p w14:paraId="0B79D86B">
      <w:pPr>
        <w:pStyle w:val="178"/>
        <w:topLinePunct/>
        <w:rPr>
          <w:rFonts w:ascii="Times New Roman" w:hAnsi="Times New Roman" w:cs="Times New Roman"/>
          <w:color w:val="000000" w:themeColor="text1"/>
        </w:rPr>
      </w:pPr>
      <w:r>
        <w:rPr>
          <w:rFonts w:ascii="Times New Roman" w:hAnsi="Times New Roman" w:cs="Times New Roman"/>
          <w:color w:val="000000" w:themeColor="text1"/>
        </w:rPr>
        <w:t>综上所述，预测矿山开采对矿区水土环境污染较轻。</w:t>
      </w:r>
    </w:p>
    <w:p w14:paraId="1319D979">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（三）问题诊断评价结论</w:t>
      </w:r>
    </w:p>
    <w:p w14:paraId="6D63C157">
      <w:pPr>
        <w:pStyle w:val="179"/>
        <w:topLinePunct/>
        <w:rPr>
          <w:rFonts w:ascii="Times New Roman" w:hAnsi="Times New Roman" w:cs="Times New Roman"/>
          <w:color w:val="000000" w:themeColor="text1"/>
        </w:rPr>
      </w:pPr>
      <w:r>
        <w:rPr>
          <w:rFonts w:ascii="Times New Roman" w:hAnsi="Times New Roman" w:cs="Times New Roman"/>
          <w:color w:val="000000" w:themeColor="text1"/>
        </w:rPr>
        <w:t>1、矿山地质环境保护与恢复治理分区</w:t>
      </w:r>
    </w:p>
    <w:p w14:paraId="3EEF4725">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（1）矿山地质环境影响程度分级</w:t>
      </w:r>
    </w:p>
    <w:p w14:paraId="384BD9BD">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本次矿山评估区面积</w:t>
      </w:r>
      <w:r>
        <w:rPr>
          <w:rFonts w:hint="eastAsia" w:ascii="Times New Roman" w:hAnsi="Times New Roman" w:cs="Times New Roman"/>
          <w:color w:val="000000" w:themeColor="text1"/>
        </w:rPr>
        <w:t>19.77h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，根据《矿山地质环境保护与恢复治理方案编制规范》（DZ/T0223-2011）规定，其中：现状评估结果为露天采场（</w:t>
      </w:r>
      <w:r>
        <w:rPr>
          <w:rFonts w:hint="eastAsia" w:ascii="Times New Roman" w:hAnsi="Times New Roman" w:cs="Times New Roman"/>
          <w:color w:val="000000" w:themeColor="text1"/>
        </w:rPr>
        <w:t>14.73</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）、排土场（0.</w:t>
      </w:r>
      <w:r>
        <w:rPr>
          <w:rFonts w:hint="eastAsia" w:ascii="Times New Roman" w:hAnsi="Times New Roman" w:cs="Times New Roman"/>
          <w:color w:val="000000" w:themeColor="text1"/>
        </w:rPr>
        <w:t>36</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）为矿山地质环境影响较严重区，面积为</w:t>
      </w:r>
      <w:r>
        <w:rPr>
          <w:rFonts w:hint="eastAsia" w:ascii="Times New Roman" w:hAnsi="Times New Roman" w:cs="Times New Roman"/>
          <w:color w:val="000000" w:themeColor="text1"/>
        </w:rPr>
        <w:t>15.09</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；评估区内其他地区为矿山地质环境影响较轻区，面积为</w:t>
      </w:r>
      <w:r>
        <w:rPr>
          <w:rFonts w:hint="eastAsia" w:ascii="Times New Roman" w:hAnsi="Times New Roman" w:cs="Times New Roman"/>
          <w:color w:val="000000" w:themeColor="text1"/>
        </w:rPr>
        <w:t>4.68</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。预测评估结果为露天采场（</w:t>
      </w:r>
      <w:r>
        <w:rPr>
          <w:rFonts w:hint="eastAsia" w:ascii="Times New Roman" w:hAnsi="Times New Roman" w:cs="Times New Roman"/>
          <w:color w:val="000000" w:themeColor="text1"/>
        </w:rPr>
        <w:t>15.63</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）、排土场（0.</w:t>
      </w:r>
      <w:r>
        <w:rPr>
          <w:rFonts w:hint="eastAsia" w:ascii="Times New Roman" w:hAnsi="Times New Roman" w:cs="Times New Roman"/>
          <w:color w:val="000000" w:themeColor="text1"/>
        </w:rPr>
        <w:t>36</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）为矿山地质环境影响较严重区，面积为</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；评估区内其他区域为矿山地质环境影响较轻区，面积为</w:t>
      </w:r>
      <w:r>
        <w:rPr>
          <w:rFonts w:hint="eastAsia" w:ascii="Times New Roman" w:hAnsi="Times New Roman" w:cs="Times New Roman"/>
          <w:color w:val="000000" w:themeColor="text1"/>
        </w:rPr>
        <w:t>3.78</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，详见表3-11矿山地质环境影响程度分级表。</w:t>
      </w:r>
    </w:p>
    <w:p w14:paraId="19CE3114">
      <w:pPr>
        <w:pStyle w:val="182"/>
        <w:widowControl w:val="0"/>
        <w:topLinePunct/>
        <w:ind w:firstLine="0" w:firstLineChars="0"/>
        <w:rPr>
          <w:rFonts w:ascii="Times New Roman" w:hAnsi="Times New Roman"/>
          <w:color w:val="000000" w:themeColor="text1"/>
          <w:sz w:val="3"/>
          <w:szCs w:val="3"/>
        </w:rPr>
      </w:pPr>
      <w:r>
        <w:rPr>
          <w:rFonts w:ascii="Times New Roman" w:hAnsi="Times New Roman"/>
          <w:color w:val="000000" w:themeColor="text1"/>
        </w:rPr>
        <w:t>表3-11</w:t>
      </w:r>
      <w:r>
        <w:rPr>
          <w:rFonts w:ascii="Times New Roman" w:hAnsi="Times New Roman"/>
          <w:color w:val="000000" w:themeColor="text1"/>
        </w:rPr>
        <w:tab/>
      </w:r>
      <w:r>
        <w:rPr>
          <w:rFonts w:ascii="Times New Roman" w:hAnsi="Times New Roman"/>
          <w:color w:val="000000" w:themeColor="text1"/>
        </w:rPr>
        <w:t>矿山地质环境影响程度分级表</w:t>
      </w:r>
    </w:p>
    <w:tbl>
      <w:tblPr>
        <w:tblStyle w:val="185"/>
        <w:tblW w:w="5050"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879"/>
        <w:gridCol w:w="2078"/>
        <w:gridCol w:w="2078"/>
        <w:gridCol w:w="2078"/>
        <w:gridCol w:w="2078"/>
      </w:tblGrid>
      <w:tr w14:paraId="481D187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877" w:type="dxa"/>
            <w:shd w:val="clear" w:color="auto" w:fill="auto"/>
            <w:vAlign w:val="center"/>
          </w:tcPr>
          <w:p w14:paraId="16A6FBDF">
            <w:pPr>
              <w:widowControl/>
              <w:topLinePunct/>
              <w:snapToGrid w:val="0"/>
              <w:spacing w:line="240" w:lineRule="auto"/>
              <w:jc w:val="center"/>
              <w:rPr>
                <w:rFonts w:ascii="Times New Roman" w:hAnsi="Times New Roman" w:cs="Times New Roman" w:eastAsiaTheme="minorEastAsia"/>
                <w:b/>
                <w:bCs/>
                <w:color w:val="000000" w:themeColor="text1"/>
                <w:kern w:val="0"/>
                <w:sz w:val="24"/>
                <w:szCs w:val="24"/>
                <w:lang w:eastAsia="en-US"/>
              </w:rPr>
            </w:pPr>
            <w:r>
              <w:rPr>
                <w:rFonts w:ascii="Times New Roman" w:hAnsi="Times New Roman" w:cs="Times New Roman" w:eastAsiaTheme="minorEastAsia"/>
                <w:b/>
                <w:bCs/>
                <w:color w:val="000000" w:themeColor="text1"/>
                <w:kern w:val="0"/>
                <w:sz w:val="24"/>
                <w:szCs w:val="24"/>
                <w:lang w:eastAsia="en-US"/>
              </w:rPr>
              <w:t>影响程度分级</w:t>
            </w:r>
          </w:p>
        </w:tc>
        <w:tc>
          <w:tcPr>
            <w:tcW w:w="2071" w:type="dxa"/>
            <w:shd w:val="clear" w:color="auto" w:fill="auto"/>
            <w:vAlign w:val="center"/>
          </w:tcPr>
          <w:p w14:paraId="4B5BA0C9">
            <w:pPr>
              <w:widowControl/>
              <w:topLinePunct/>
              <w:snapToGrid w:val="0"/>
              <w:spacing w:line="240" w:lineRule="auto"/>
              <w:jc w:val="center"/>
              <w:rPr>
                <w:rFonts w:ascii="Times New Roman" w:hAnsi="Times New Roman" w:cs="Times New Roman" w:eastAsiaTheme="minorEastAsia"/>
                <w:b/>
                <w:bCs/>
                <w:color w:val="000000" w:themeColor="text1"/>
                <w:kern w:val="0"/>
                <w:sz w:val="24"/>
                <w:szCs w:val="24"/>
                <w:lang w:eastAsia="en-US"/>
              </w:rPr>
            </w:pPr>
            <w:r>
              <w:rPr>
                <w:rFonts w:ascii="Times New Roman" w:hAnsi="Times New Roman" w:cs="Times New Roman" w:eastAsiaTheme="minorEastAsia"/>
                <w:b/>
                <w:bCs/>
                <w:color w:val="000000" w:themeColor="text1"/>
                <w:kern w:val="0"/>
                <w:sz w:val="24"/>
                <w:szCs w:val="24"/>
                <w:lang w:eastAsia="en-US"/>
              </w:rPr>
              <w:t>地质灾害</w:t>
            </w:r>
          </w:p>
        </w:tc>
        <w:tc>
          <w:tcPr>
            <w:tcW w:w="2071" w:type="dxa"/>
            <w:shd w:val="clear" w:color="auto" w:fill="auto"/>
            <w:vAlign w:val="center"/>
          </w:tcPr>
          <w:p w14:paraId="3163454A">
            <w:pPr>
              <w:widowControl/>
              <w:topLinePunct/>
              <w:snapToGrid w:val="0"/>
              <w:spacing w:line="240" w:lineRule="auto"/>
              <w:jc w:val="center"/>
              <w:rPr>
                <w:rFonts w:ascii="Times New Roman" w:hAnsi="Times New Roman" w:cs="Times New Roman" w:eastAsiaTheme="minorEastAsia"/>
                <w:b/>
                <w:bCs/>
                <w:color w:val="000000" w:themeColor="text1"/>
                <w:kern w:val="0"/>
                <w:sz w:val="24"/>
                <w:szCs w:val="24"/>
                <w:lang w:eastAsia="en-US"/>
              </w:rPr>
            </w:pPr>
            <w:r>
              <w:rPr>
                <w:rFonts w:ascii="Times New Roman" w:hAnsi="Times New Roman" w:cs="Times New Roman" w:eastAsiaTheme="minorEastAsia"/>
                <w:b/>
                <w:bCs/>
                <w:color w:val="000000" w:themeColor="text1"/>
                <w:kern w:val="0"/>
                <w:sz w:val="24"/>
                <w:szCs w:val="24"/>
                <w:lang w:eastAsia="en-US"/>
              </w:rPr>
              <w:t>含水层</w:t>
            </w:r>
          </w:p>
        </w:tc>
        <w:tc>
          <w:tcPr>
            <w:tcW w:w="2071" w:type="dxa"/>
            <w:shd w:val="clear" w:color="auto" w:fill="auto"/>
            <w:vAlign w:val="center"/>
          </w:tcPr>
          <w:p w14:paraId="737B9B36">
            <w:pPr>
              <w:widowControl/>
              <w:topLinePunct/>
              <w:snapToGrid w:val="0"/>
              <w:spacing w:line="240" w:lineRule="auto"/>
              <w:jc w:val="center"/>
              <w:rPr>
                <w:rFonts w:ascii="Times New Roman" w:hAnsi="Times New Roman" w:cs="Times New Roman" w:eastAsiaTheme="minorEastAsia"/>
                <w:b/>
                <w:bCs/>
                <w:color w:val="000000" w:themeColor="text1"/>
                <w:kern w:val="0"/>
                <w:sz w:val="24"/>
                <w:szCs w:val="24"/>
                <w:lang w:eastAsia="en-US"/>
              </w:rPr>
            </w:pPr>
            <w:r>
              <w:rPr>
                <w:rFonts w:ascii="Times New Roman" w:hAnsi="Times New Roman" w:cs="Times New Roman" w:eastAsiaTheme="minorEastAsia"/>
                <w:b/>
                <w:bCs/>
                <w:color w:val="000000" w:themeColor="text1"/>
                <w:kern w:val="0"/>
                <w:sz w:val="24"/>
                <w:szCs w:val="24"/>
                <w:lang w:eastAsia="en-US"/>
              </w:rPr>
              <w:t>地形地貌景观</w:t>
            </w:r>
          </w:p>
        </w:tc>
        <w:tc>
          <w:tcPr>
            <w:tcW w:w="2071" w:type="dxa"/>
            <w:shd w:val="clear" w:color="auto" w:fill="auto"/>
            <w:vAlign w:val="center"/>
          </w:tcPr>
          <w:p w14:paraId="70DCB441">
            <w:pPr>
              <w:widowControl/>
              <w:topLinePunct/>
              <w:snapToGrid w:val="0"/>
              <w:spacing w:line="240" w:lineRule="auto"/>
              <w:jc w:val="center"/>
              <w:rPr>
                <w:rFonts w:ascii="Times New Roman" w:hAnsi="Times New Roman" w:cs="Times New Roman" w:eastAsiaTheme="minorEastAsia"/>
                <w:b/>
                <w:bCs/>
                <w:color w:val="000000" w:themeColor="text1"/>
                <w:kern w:val="0"/>
                <w:sz w:val="24"/>
                <w:szCs w:val="24"/>
                <w:lang w:eastAsia="en-US"/>
              </w:rPr>
            </w:pPr>
            <w:r>
              <w:rPr>
                <w:rFonts w:ascii="Times New Roman" w:hAnsi="Times New Roman" w:cs="Times New Roman" w:eastAsiaTheme="minorEastAsia"/>
                <w:b/>
                <w:bCs/>
                <w:color w:val="000000" w:themeColor="text1"/>
                <w:kern w:val="0"/>
                <w:sz w:val="24"/>
                <w:szCs w:val="24"/>
                <w:lang w:eastAsia="en-US"/>
              </w:rPr>
              <w:t>土地资源</w:t>
            </w:r>
          </w:p>
        </w:tc>
      </w:tr>
      <w:tr w14:paraId="3E7D4EC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877" w:type="dxa"/>
            <w:shd w:val="clear" w:color="auto" w:fill="auto"/>
            <w:vAlign w:val="center"/>
          </w:tcPr>
          <w:p w14:paraId="2517AD7D">
            <w:pPr>
              <w:widowControl/>
              <w:topLinePunct/>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严重</w:t>
            </w:r>
          </w:p>
        </w:tc>
        <w:tc>
          <w:tcPr>
            <w:tcW w:w="2071" w:type="dxa"/>
            <w:shd w:val="clear" w:color="auto" w:fill="auto"/>
          </w:tcPr>
          <w:p w14:paraId="30746F96">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1、地质灾害规模大，发生的可能性大；</w:t>
            </w:r>
          </w:p>
          <w:p w14:paraId="79A48C99">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2、影响到城市、乡镇、重要行政村、重要交通干线、重要工程设施及各类保护区安全；</w:t>
            </w:r>
          </w:p>
          <w:p w14:paraId="22FE8C2B">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3、造成或可能造成直接经济损失大于500万元；</w:t>
            </w:r>
          </w:p>
          <w:p w14:paraId="6D5A15E2">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4、受威胁人数大于</w:t>
            </w:r>
          </w:p>
          <w:p w14:paraId="10AB5306">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100人。</w:t>
            </w:r>
          </w:p>
        </w:tc>
        <w:tc>
          <w:tcPr>
            <w:tcW w:w="2071" w:type="dxa"/>
            <w:shd w:val="clear" w:color="auto" w:fill="auto"/>
          </w:tcPr>
          <w:p w14:paraId="11BBFB0B">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1、矿床充水主要含水层结构破坏，产生导水通道；</w:t>
            </w:r>
          </w:p>
          <w:p w14:paraId="78190C77">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2、矿井正常涌水量大于10000</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r>
              <w:rPr>
                <w:rFonts w:ascii="Times New Roman" w:hAnsi="Times New Roman" w:cs="Times New Roman" w:eastAsiaTheme="minorEastAsia"/>
                <w:color w:val="000000" w:themeColor="text1"/>
                <w:kern w:val="0"/>
                <w:sz w:val="24"/>
                <w:szCs w:val="24"/>
                <w:lang w:eastAsia="zh-CN"/>
              </w:rPr>
              <w:t>/d；</w:t>
            </w:r>
          </w:p>
          <w:p w14:paraId="1D67DFED">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3、区域地下水水位下降；</w:t>
            </w:r>
          </w:p>
          <w:p w14:paraId="1E491360">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4、矿区周围主要含水层（带）水位大幅下降，或呈疏干状态，地表水体漏失严重；</w:t>
            </w:r>
          </w:p>
          <w:p w14:paraId="60F7B3FD">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5、不同含水层（组）串通水质恶化；</w:t>
            </w:r>
          </w:p>
          <w:p w14:paraId="7A620346">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6、影响集中水源地供水，矿区及周围生产、生活供水困难。</w:t>
            </w:r>
          </w:p>
        </w:tc>
        <w:tc>
          <w:tcPr>
            <w:tcW w:w="2071" w:type="dxa"/>
            <w:shd w:val="clear" w:color="auto" w:fill="auto"/>
          </w:tcPr>
          <w:p w14:paraId="2E796BE7">
            <w:pPr>
              <w:widowControl/>
              <w:topLinePunct/>
              <w:snapToGrid w:val="0"/>
              <w:spacing w:line="240" w:lineRule="auto"/>
              <w:rPr>
                <w:rFonts w:ascii="Times New Roman" w:hAnsi="Times New Roman" w:cs="Times New Roman" w:eastAsiaTheme="minorEastAsia"/>
                <w:bCs/>
                <w:color w:val="000000" w:themeColor="text1"/>
                <w:kern w:val="0"/>
                <w:sz w:val="24"/>
                <w:szCs w:val="24"/>
                <w:lang w:eastAsia="zh-CN"/>
              </w:rPr>
            </w:pPr>
            <w:r>
              <w:rPr>
                <w:rFonts w:ascii="Times New Roman" w:hAnsi="Times New Roman" w:cs="Times New Roman" w:eastAsiaTheme="minorEastAsia"/>
                <w:bCs/>
                <w:color w:val="000000" w:themeColor="text1"/>
                <w:kern w:val="0"/>
                <w:sz w:val="24"/>
                <w:szCs w:val="24"/>
                <w:lang w:eastAsia="zh-CN"/>
              </w:rPr>
              <w:t>1、对原生的地形地貌景观影响和破坏程度大；</w:t>
            </w:r>
          </w:p>
          <w:p w14:paraId="2E9D5559">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2、对各类自然保护区、人文景观、风景旅游区、城市周围、主要交通干线两侧可视范围内地形地貌景观影响严重。</w:t>
            </w:r>
          </w:p>
        </w:tc>
        <w:tc>
          <w:tcPr>
            <w:tcW w:w="2071" w:type="dxa"/>
            <w:shd w:val="clear" w:color="auto" w:fill="auto"/>
          </w:tcPr>
          <w:p w14:paraId="19A187FE">
            <w:pPr>
              <w:widowControl/>
              <w:topLinePunct/>
              <w:snapToGrid w:val="0"/>
              <w:spacing w:line="240" w:lineRule="auto"/>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1、占用破坏基本农田；</w:t>
            </w:r>
          </w:p>
          <w:p w14:paraId="1B49453B">
            <w:pPr>
              <w:widowControl/>
              <w:topLinePunct/>
              <w:snapToGrid w:val="0"/>
              <w:spacing w:line="240" w:lineRule="auto"/>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2、占用破坏耕地大于2h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r>
              <w:rPr>
                <w:rFonts w:ascii="Times New Roman" w:hAnsi="Times New Roman" w:cs="Times New Roman" w:eastAsiaTheme="minorEastAsia"/>
                <w:color w:val="000000" w:themeColor="text1"/>
                <w:kern w:val="0"/>
                <w:sz w:val="24"/>
                <w:szCs w:val="24"/>
                <w:lang w:eastAsia="en-US"/>
              </w:rPr>
              <w:t>；</w:t>
            </w:r>
          </w:p>
          <w:p w14:paraId="38BFFADC">
            <w:pPr>
              <w:widowControl/>
              <w:topLinePunct/>
              <w:snapToGrid w:val="0"/>
              <w:spacing w:line="240" w:lineRule="auto"/>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3、占用破坏林地或草地大于4h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r>
              <w:rPr>
                <w:rFonts w:ascii="Times New Roman" w:hAnsi="Times New Roman" w:cs="Times New Roman" w:eastAsiaTheme="minorEastAsia"/>
                <w:color w:val="000000" w:themeColor="text1"/>
                <w:kern w:val="0"/>
                <w:sz w:val="24"/>
                <w:szCs w:val="24"/>
                <w:lang w:eastAsia="en-US"/>
              </w:rPr>
              <w:t>；</w:t>
            </w:r>
          </w:p>
          <w:p w14:paraId="3C26F73B">
            <w:pPr>
              <w:widowControl/>
              <w:topLinePunct/>
              <w:snapToGrid w:val="0"/>
              <w:spacing w:line="240" w:lineRule="auto"/>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4、占用破坏荒地或未开发利用土地大于20h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r>
              <w:rPr>
                <w:rFonts w:ascii="Times New Roman" w:hAnsi="Times New Roman" w:cs="Times New Roman" w:eastAsiaTheme="minorEastAsia"/>
                <w:color w:val="000000" w:themeColor="text1"/>
                <w:kern w:val="0"/>
                <w:sz w:val="24"/>
                <w:szCs w:val="24"/>
                <w:lang w:eastAsia="en-US"/>
              </w:rPr>
              <w:t>。</w:t>
            </w:r>
          </w:p>
        </w:tc>
      </w:tr>
      <w:tr w14:paraId="36BA065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877" w:type="dxa"/>
            <w:shd w:val="clear" w:color="auto" w:fill="auto"/>
            <w:vAlign w:val="center"/>
          </w:tcPr>
          <w:p w14:paraId="5D91AFD9">
            <w:pPr>
              <w:widowControl/>
              <w:topLinePunct/>
              <w:snapToGrid w:val="0"/>
              <w:spacing w:line="240" w:lineRule="auto"/>
              <w:jc w:val="center"/>
              <w:rPr>
                <w:rFonts w:ascii="Times New Roman" w:hAnsi="Times New Roman" w:cs="Times New Roman" w:eastAsiaTheme="minorEastAsia"/>
                <w:b/>
                <w:bCs/>
                <w:color w:val="000000" w:themeColor="text1"/>
                <w:kern w:val="0"/>
                <w:sz w:val="24"/>
                <w:szCs w:val="24"/>
                <w:lang w:eastAsia="en-US"/>
              </w:rPr>
            </w:pPr>
            <w:r>
              <w:rPr>
                <w:rFonts w:ascii="Times New Roman" w:hAnsi="Times New Roman" w:cs="Times New Roman" w:eastAsiaTheme="minorEastAsia"/>
                <w:b/>
                <w:bCs/>
                <w:color w:val="000000" w:themeColor="text1"/>
                <w:kern w:val="0"/>
                <w:sz w:val="24"/>
                <w:szCs w:val="24"/>
                <w:lang w:eastAsia="en-US"/>
              </w:rPr>
              <w:t>较严重</w:t>
            </w:r>
          </w:p>
        </w:tc>
        <w:tc>
          <w:tcPr>
            <w:tcW w:w="2071" w:type="dxa"/>
            <w:shd w:val="clear" w:color="auto" w:fill="auto"/>
          </w:tcPr>
          <w:p w14:paraId="19708255">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1、地质灾害规模中</w:t>
            </w:r>
          </w:p>
          <w:p w14:paraId="68720810">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等，发生的可能性较大；</w:t>
            </w:r>
          </w:p>
          <w:p w14:paraId="589F557C">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2、影响到村庄、居民聚居区、一般交通线和较重要工程设施安全；</w:t>
            </w:r>
          </w:p>
          <w:p w14:paraId="3F031860">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3、造成或可能造成直接损失100-500万元。</w:t>
            </w:r>
          </w:p>
          <w:p w14:paraId="01A6A3BE">
            <w:pPr>
              <w:widowControl/>
              <w:topLinePunct/>
              <w:snapToGrid w:val="0"/>
              <w:spacing w:line="240" w:lineRule="auto"/>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4、受威胁人数</w:t>
            </w:r>
          </w:p>
          <w:p w14:paraId="289285C1">
            <w:pPr>
              <w:widowControl/>
              <w:topLinePunct/>
              <w:snapToGrid w:val="0"/>
              <w:spacing w:line="240" w:lineRule="auto"/>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10-100人。</w:t>
            </w:r>
          </w:p>
        </w:tc>
        <w:tc>
          <w:tcPr>
            <w:tcW w:w="2071" w:type="dxa"/>
            <w:shd w:val="clear" w:color="auto" w:fill="auto"/>
          </w:tcPr>
          <w:p w14:paraId="2F879B52">
            <w:pPr>
              <w:widowControl/>
              <w:topLinePunct/>
              <w:snapToGrid w:val="0"/>
              <w:spacing w:line="240" w:lineRule="auto"/>
              <w:ind w:left="-38" w:leftChars="-18"/>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1、矿井正常涌水量3000-10000</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r>
              <w:rPr>
                <w:rFonts w:ascii="Times New Roman" w:hAnsi="Times New Roman" w:cs="Times New Roman" w:eastAsiaTheme="minorEastAsia"/>
                <w:color w:val="000000" w:themeColor="text1"/>
                <w:kern w:val="0"/>
                <w:sz w:val="24"/>
                <w:szCs w:val="24"/>
                <w:lang w:eastAsia="zh-CN"/>
              </w:rPr>
              <w:t>/d；</w:t>
            </w:r>
          </w:p>
          <w:p w14:paraId="08652046">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2、矿区及周围主要含水层（带）水位下降幅度较大，地下水呈半疏干状态；</w:t>
            </w:r>
          </w:p>
          <w:p w14:paraId="06B0570E">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3、矿区及周围地表水体漏失较严重；</w:t>
            </w:r>
          </w:p>
          <w:p w14:paraId="399C8401">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4、影响矿区及周围部分生产生活供水。</w:t>
            </w:r>
          </w:p>
        </w:tc>
        <w:tc>
          <w:tcPr>
            <w:tcW w:w="2071" w:type="dxa"/>
            <w:shd w:val="clear" w:color="auto" w:fill="auto"/>
          </w:tcPr>
          <w:p w14:paraId="23E225DB">
            <w:pPr>
              <w:widowControl/>
              <w:topLinePunct/>
              <w:snapToGrid w:val="0"/>
              <w:spacing w:line="240" w:lineRule="auto"/>
              <w:rPr>
                <w:rFonts w:ascii="Times New Roman" w:hAnsi="Times New Roman" w:cs="Times New Roman" w:eastAsiaTheme="minorEastAsia"/>
                <w:b/>
                <w:bCs/>
                <w:color w:val="000000" w:themeColor="text1"/>
                <w:kern w:val="0"/>
                <w:sz w:val="24"/>
                <w:szCs w:val="24"/>
                <w:lang w:eastAsia="zh-CN"/>
              </w:rPr>
            </w:pPr>
            <w:r>
              <w:rPr>
                <w:rFonts w:ascii="Times New Roman" w:hAnsi="Times New Roman" w:cs="Times New Roman" w:eastAsiaTheme="minorEastAsia"/>
                <w:b/>
                <w:bCs/>
                <w:color w:val="000000" w:themeColor="text1"/>
                <w:kern w:val="0"/>
                <w:sz w:val="24"/>
                <w:szCs w:val="24"/>
                <w:lang w:eastAsia="zh-CN"/>
              </w:rPr>
              <w:t>1、对原生的地形地貌景观影响和破坏程度较大；</w:t>
            </w:r>
          </w:p>
          <w:p w14:paraId="2FCD02DC">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2、对各类自然保护区、人文景观、风景旅游区、城市周围、主要交通干线两侧可视范围内地形地貌景观影响较重。</w:t>
            </w:r>
          </w:p>
        </w:tc>
        <w:tc>
          <w:tcPr>
            <w:tcW w:w="2071" w:type="dxa"/>
            <w:shd w:val="clear" w:color="auto" w:fill="auto"/>
          </w:tcPr>
          <w:p w14:paraId="4BC8619E">
            <w:pPr>
              <w:widowControl/>
              <w:topLinePunct/>
              <w:snapToGrid w:val="0"/>
              <w:spacing w:line="240" w:lineRule="auto"/>
              <w:rPr>
                <w:rFonts w:ascii="Times New Roman" w:hAnsi="Times New Roman" w:cs="Times New Roman" w:eastAsiaTheme="minorEastAsia"/>
                <w:b/>
                <w:bCs/>
                <w:color w:val="000000" w:themeColor="text1"/>
                <w:kern w:val="0"/>
                <w:sz w:val="24"/>
                <w:szCs w:val="24"/>
                <w:lang w:eastAsia="en-US"/>
              </w:rPr>
            </w:pPr>
            <w:r>
              <w:rPr>
                <w:rFonts w:ascii="Times New Roman" w:hAnsi="Times New Roman" w:cs="Times New Roman" w:eastAsiaTheme="minorEastAsia"/>
                <w:b/>
                <w:bCs/>
                <w:color w:val="000000" w:themeColor="text1"/>
                <w:kern w:val="0"/>
                <w:sz w:val="24"/>
                <w:szCs w:val="24"/>
                <w:lang w:eastAsia="en-US"/>
              </w:rPr>
              <w:t>1、占用破坏耕地小于等于2h</w:t>
            </w:r>
            <w:r>
              <w:rPr>
                <w:rFonts w:hint="eastAsia" w:ascii="Times New Roman" w:hAnsi="Times New Roman" w:cs="Times New Roman" w:eastAsiaTheme="minorEastAsia"/>
                <w:b/>
                <w:bCs/>
                <w:color w:val="000000" w:themeColor="text1"/>
                <w:kern w:val="0"/>
                <w:sz w:val="24"/>
                <w:szCs w:val="24"/>
                <w:lang w:eastAsia="zh-CN"/>
              </w:rPr>
              <w:t>m</w:t>
            </w:r>
            <w:r>
              <w:rPr>
                <w:rFonts w:hint="eastAsia" w:ascii="Times New Roman" w:hAnsi="Times New Roman" w:cs="Times New Roman" w:eastAsiaTheme="minorEastAsia"/>
                <w:b/>
                <w:bCs/>
                <w:strike w:val="0"/>
                <w:dstrike w:val="0"/>
                <w:color w:val="000000" w:themeColor="text1"/>
                <w:kern w:val="0"/>
                <w:sz w:val="24"/>
                <w:szCs w:val="24"/>
                <w:vertAlign w:val="superscript"/>
                <w:lang w:eastAsia="zh-CN"/>
              </w:rPr>
              <w:t>2</w:t>
            </w:r>
            <w:r>
              <w:rPr>
                <w:rFonts w:ascii="Times New Roman" w:hAnsi="Times New Roman" w:cs="Times New Roman" w:eastAsiaTheme="minorEastAsia"/>
                <w:b/>
                <w:bCs/>
                <w:color w:val="000000" w:themeColor="text1"/>
                <w:kern w:val="0"/>
                <w:sz w:val="24"/>
                <w:szCs w:val="24"/>
                <w:lang w:eastAsia="en-US"/>
              </w:rPr>
              <w:t>；</w:t>
            </w:r>
          </w:p>
          <w:p w14:paraId="07AAAB1F">
            <w:pPr>
              <w:widowControl/>
              <w:topLinePunct/>
              <w:snapToGrid w:val="0"/>
              <w:spacing w:line="240" w:lineRule="auto"/>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2、占用破坏林地或草地2-4h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r>
              <w:rPr>
                <w:rFonts w:ascii="Times New Roman" w:hAnsi="Times New Roman" w:cs="Times New Roman" w:eastAsiaTheme="minorEastAsia"/>
                <w:color w:val="000000" w:themeColor="text1"/>
                <w:kern w:val="0"/>
                <w:sz w:val="24"/>
                <w:szCs w:val="24"/>
                <w:lang w:eastAsia="en-US"/>
              </w:rPr>
              <w:t>；</w:t>
            </w:r>
          </w:p>
          <w:p w14:paraId="450FFB99">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3、占用破坏荒山或未开发利用土地10-20h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r>
              <w:rPr>
                <w:rFonts w:ascii="Times New Roman" w:hAnsi="Times New Roman" w:cs="Times New Roman" w:eastAsiaTheme="minorEastAsia"/>
                <w:color w:val="000000" w:themeColor="text1"/>
                <w:kern w:val="0"/>
                <w:sz w:val="24"/>
                <w:szCs w:val="24"/>
                <w:lang w:eastAsia="zh-CN"/>
              </w:rPr>
              <w:t>。</w:t>
            </w:r>
          </w:p>
        </w:tc>
      </w:tr>
      <w:tr w14:paraId="54494B0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877" w:type="dxa"/>
            <w:shd w:val="clear" w:color="auto" w:fill="auto"/>
            <w:vAlign w:val="center"/>
          </w:tcPr>
          <w:p w14:paraId="2EB903D8">
            <w:pPr>
              <w:widowControl/>
              <w:topLinePunct/>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较轻</w:t>
            </w:r>
          </w:p>
        </w:tc>
        <w:tc>
          <w:tcPr>
            <w:tcW w:w="2071" w:type="dxa"/>
            <w:shd w:val="clear" w:color="auto" w:fill="auto"/>
          </w:tcPr>
          <w:p w14:paraId="38F64060">
            <w:pPr>
              <w:widowControl/>
              <w:topLinePunct/>
              <w:snapToGrid w:val="0"/>
              <w:spacing w:line="240" w:lineRule="auto"/>
              <w:rPr>
                <w:rFonts w:ascii="Times New Roman" w:hAnsi="Times New Roman" w:cs="Times New Roman" w:eastAsiaTheme="minorEastAsia"/>
                <w:b/>
                <w:color w:val="000000" w:themeColor="text1"/>
                <w:kern w:val="0"/>
                <w:sz w:val="24"/>
                <w:szCs w:val="24"/>
                <w:lang w:eastAsia="zh-CN"/>
              </w:rPr>
            </w:pPr>
            <w:r>
              <w:rPr>
                <w:rFonts w:ascii="Times New Roman" w:hAnsi="Times New Roman" w:cs="Times New Roman" w:eastAsiaTheme="minorEastAsia"/>
                <w:b/>
                <w:color w:val="000000" w:themeColor="text1"/>
                <w:kern w:val="0"/>
                <w:sz w:val="24"/>
                <w:szCs w:val="24"/>
                <w:lang w:eastAsia="zh-CN"/>
              </w:rPr>
              <w:t>1、地质灾害规模小，发生的可能性小；</w:t>
            </w:r>
          </w:p>
          <w:p w14:paraId="39658209">
            <w:pPr>
              <w:widowControl/>
              <w:topLinePunct/>
              <w:snapToGrid w:val="0"/>
              <w:spacing w:line="240" w:lineRule="auto"/>
              <w:rPr>
                <w:rFonts w:ascii="Times New Roman" w:hAnsi="Times New Roman" w:cs="Times New Roman" w:eastAsiaTheme="minorEastAsia"/>
                <w:b/>
                <w:color w:val="000000" w:themeColor="text1"/>
                <w:kern w:val="0"/>
                <w:sz w:val="24"/>
                <w:szCs w:val="24"/>
                <w:lang w:eastAsia="zh-CN"/>
              </w:rPr>
            </w:pPr>
            <w:r>
              <w:rPr>
                <w:rFonts w:ascii="Times New Roman" w:hAnsi="Times New Roman" w:cs="Times New Roman" w:eastAsiaTheme="minorEastAsia"/>
                <w:b/>
                <w:color w:val="000000" w:themeColor="text1"/>
                <w:kern w:val="0"/>
                <w:sz w:val="24"/>
                <w:szCs w:val="24"/>
                <w:lang w:eastAsia="zh-CN"/>
              </w:rPr>
              <w:t>2、影响到分散性居民、一般性小规模建筑及设施；</w:t>
            </w:r>
          </w:p>
          <w:p w14:paraId="2C617BFF">
            <w:pPr>
              <w:widowControl/>
              <w:topLinePunct/>
              <w:snapToGrid w:val="0"/>
              <w:spacing w:line="240" w:lineRule="auto"/>
              <w:rPr>
                <w:rFonts w:ascii="Times New Roman" w:hAnsi="Times New Roman" w:cs="Times New Roman" w:eastAsiaTheme="minorEastAsia"/>
                <w:b/>
                <w:color w:val="000000" w:themeColor="text1"/>
                <w:kern w:val="0"/>
                <w:sz w:val="24"/>
                <w:szCs w:val="24"/>
                <w:lang w:eastAsia="zh-CN"/>
              </w:rPr>
            </w:pPr>
            <w:r>
              <w:rPr>
                <w:rFonts w:ascii="Times New Roman" w:hAnsi="Times New Roman" w:cs="Times New Roman" w:eastAsiaTheme="minorEastAsia"/>
                <w:b/>
                <w:color w:val="000000" w:themeColor="text1"/>
                <w:kern w:val="0"/>
                <w:sz w:val="24"/>
                <w:szCs w:val="24"/>
                <w:lang w:eastAsia="zh-CN"/>
              </w:rPr>
              <w:t>3、造成或可能造成直接损失小于100万元。</w:t>
            </w:r>
          </w:p>
          <w:p w14:paraId="4C7CC516">
            <w:pPr>
              <w:widowControl/>
              <w:topLinePunct/>
              <w:snapToGrid w:val="0"/>
              <w:spacing w:line="240" w:lineRule="auto"/>
              <w:rPr>
                <w:rFonts w:ascii="Times New Roman" w:hAnsi="Times New Roman" w:cs="Times New Roman" w:eastAsiaTheme="minorEastAsia"/>
                <w:b/>
                <w:color w:val="000000" w:themeColor="text1"/>
                <w:kern w:val="0"/>
                <w:sz w:val="24"/>
                <w:szCs w:val="24"/>
                <w:lang w:eastAsia="zh-CN"/>
              </w:rPr>
            </w:pPr>
            <w:r>
              <w:rPr>
                <w:rFonts w:ascii="Times New Roman" w:hAnsi="Times New Roman" w:cs="Times New Roman" w:eastAsiaTheme="minorEastAsia"/>
                <w:b/>
                <w:color w:val="000000" w:themeColor="text1"/>
                <w:kern w:val="0"/>
                <w:sz w:val="24"/>
                <w:szCs w:val="24"/>
                <w:lang w:eastAsia="zh-CN"/>
              </w:rPr>
              <w:t>4、受威胁人数小于10人。</w:t>
            </w:r>
          </w:p>
        </w:tc>
        <w:tc>
          <w:tcPr>
            <w:tcW w:w="2071" w:type="dxa"/>
            <w:shd w:val="clear" w:color="auto" w:fill="auto"/>
          </w:tcPr>
          <w:p w14:paraId="011CED04">
            <w:pPr>
              <w:widowControl/>
              <w:topLinePunct/>
              <w:snapToGrid w:val="0"/>
              <w:spacing w:line="240" w:lineRule="auto"/>
              <w:rPr>
                <w:rFonts w:ascii="Times New Roman" w:hAnsi="Times New Roman" w:cs="Times New Roman" w:eastAsiaTheme="minorEastAsia"/>
                <w:b/>
                <w:color w:val="000000" w:themeColor="text1"/>
                <w:kern w:val="0"/>
                <w:sz w:val="24"/>
                <w:szCs w:val="24"/>
                <w:lang w:eastAsia="zh-CN"/>
              </w:rPr>
            </w:pPr>
            <w:r>
              <w:rPr>
                <w:rFonts w:ascii="Times New Roman" w:hAnsi="Times New Roman" w:cs="Times New Roman" w:eastAsiaTheme="minorEastAsia"/>
                <w:b/>
                <w:color w:val="000000" w:themeColor="text1"/>
                <w:kern w:val="0"/>
                <w:sz w:val="24"/>
                <w:szCs w:val="24"/>
                <w:lang w:eastAsia="zh-CN"/>
              </w:rPr>
              <w:t>1、矿井正常涌水量小于3000</w:t>
            </w:r>
            <w:r>
              <w:rPr>
                <w:rFonts w:hint="eastAsia" w:ascii="Times New Roman" w:hAnsi="Times New Roman" w:cs="Times New Roman" w:eastAsiaTheme="minorEastAsia"/>
                <w:b/>
                <w:color w:val="000000" w:themeColor="text1"/>
                <w:kern w:val="0"/>
                <w:sz w:val="24"/>
                <w:szCs w:val="24"/>
                <w:lang w:eastAsia="zh-CN"/>
              </w:rPr>
              <w:t>m</w:t>
            </w:r>
            <w:r>
              <w:rPr>
                <w:rFonts w:hint="eastAsia" w:ascii="Times New Roman" w:hAnsi="Times New Roman" w:cs="Times New Roman" w:eastAsiaTheme="minorEastAsia"/>
                <w:b/>
                <w:strike w:val="0"/>
                <w:dstrike w:val="0"/>
                <w:color w:val="000000" w:themeColor="text1"/>
                <w:kern w:val="0"/>
                <w:sz w:val="24"/>
                <w:szCs w:val="24"/>
                <w:vertAlign w:val="superscript"/>
                <w:lang w:eastAsia="zh-CN"/>
              </w:rPr>
              <w:t>3</w:t>
            </w:r>
            <w:r>
              <w:rPr>
                <w:rFonts w:ascii="Times New Roman" w:hAnsi="Times New Roman" w:cs="Times New Roman" w:eastAsiaTheme="minorEastAsia"/>
                <w:b/>
                <w:color w:val="000000" w:themeColor="text1"/>
                <w:kern w:val="0"/>
                <w:sz w:val="24"/>
                <w:szCs w:val="24"/>
                <w:lang w:eastAsia="zh-CN"/>
              </w:rPr>
              <w:t>/d；</w:t>
            </w:r>
          </w:p>
          <w:p w14:paraId="4798D37E">
            <w:pPr>
              <w:widowControl/>
              <w:topLinePunct/>
              <w:snapToGrid w:val="0"/>
              <w:spacing w:line="240" w:lineRule="auto"/>
              <w:rPr>
                <w:rFonts w:ascii="Times New Roman" w:hAnsi="Times New Roman" w:cs="Times New Roman" w:eastAsiaTheme="minorEastAsia"/>
                <w:b/>
                <w:color w:val="000000" w:themeColor="text1"/>
                <w:kern w:val="0"/>
                <w:sz w:val="24"/>
                <w:szCs w:val="24"/>
                <w:lang w:eastAsia="zh-CN"/>
              </w:rPr>
            </w:pPr>
            <w:r>
              <w:rPr>
                <w:rFonts w:ascii="Times New Roman" w:hAnsi="Times New Roman" w:cs="Times New Roman" w:eastAsiaTheme="minorEastAsia"/>
                <w:b/>
                <w:color w:val="000000" w:themeColor="text1"/>
                <w:kern w:val="0"/>
                <w:sz w:val="24"/>
                <w:szCs w:val="24"/>
                <w:lang w:eastAsia="zh-CN"/>
              </w:rPr>
              <w:t>2、矿区及周围主要含水层水位下降幅度小；</w:t>
            </w:r>
          </w:p>
          <w:p w14:paraId="230BB56D">
            <w:pPr>
              <w:widowControl/>
              <w:topLinePunct/>
              <w:snapToGrid w:val="0"/>
              <w:spacing w:line="240" w:lineRule="auto"/>
              <w:rPr>
                <w:rFonts w:ascii="Times New Roman" w:hAnsi="Times New Roman" w:cs="Times New Roman" w:eastAsiaTheme="minorEastAsia"/>
                <w:b/>
                <w:color w:val="000000" w:themeColor="text1"/>
                <w:kern w:val="0"/>
                <w:sz w:val="24"/>
                <w:szCs w:val="24"/>
                <w:lang w:eastAsia="zh-CN"/>
              </w:rPr>
            </w:pPr>
            <w:r>
              <w:rPr>
                <w:rFonts w:ascii="Times New Roman" w:hAnsi="Times New Roman" w:cs="Times New Roman" w:eastAsiaTheme="minorEastAsia"/>
                <w:b/>
                <w:color w:val="000000" w:themeColor="text1"/>
                <w:kern w:val="0"/>
                <w:sz w:val="24"/>
                <w:szCs w:val="24"/>
                <w:lang w:eastAsia="zh-CN"/>
              </w:rPr>
              <w:t>3、矿区及周围地表水体未漏失；</w:t>
            </w:r>
          </w:p>
          <w:p w14:paraId="2E41D24C">
            <w:pPr>
              <w:widowControl/>
              <w:topLinePunct/>
              <w:snapToGrid w:val="0"/>
              <w:spacing w:line="240" w:lineRule="auto"/>
              <w:rPr>
                <w:rFonts w:ascii="Times New Roman" w:hAnsi="Times New Roman" w:cs="Times New Roman" w:eastAsiaTheme="minorEastAsia"/>
                <w:b/>
                <w:color w:val="000000" w:themeColor="text1"/>
                <w:kern w:val="0"/>
                <w:sz w:val="24"/>
                <w:szCs w:val="24"/>
                <w:lang w:eastAsia="zh-CN"/>
              </w:rPr>
            </w:pPr>
            <w:r>
              <w:rPr>
                <w:rFonts w:ascii="Times New Roman" w:hAnsi="Times New Roman" w:cs="Times New Roman" w:eastAsiaTheme="minorEastAsia"/>
                <w:b/>
                <w:color w:val="000000" w:themeColor="text1"/>
                <w:kern w:val="0"/>
                <w:sz w:val="24"/>
                <w:szCs w:val="24"/>
                <w:lang w:eastAsia="zh-CN"/>
              </w:rPr>
              <w:t>4、未影响到矿区及周围生产生活供水。</w:t>
            </w:r>
          </w:p>
        </w:tc>
        <w:tc>
          <w:tcPr>
            <w:tcW w:w="2071" w:type="dxa"/>
            <w:shd w:val="clear" w:color="auto" w:fill="auto"/>
          </w:tcPr>
          <w:p w14:paraId="4EDA611E">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1、对原生的地形</w:t>
            </w:r>
          </w:p>
          <w:p w14:paraId="06CFEE56">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地貌景观影响和破坏程度小；</w:t>
            </w:r>
          </w:p>
          <w:p w14:paraId="650A91C3">
            <w:pPr>
              <w:widowControl/>
              <w:topLinePunct/>
              <w:snapToGrid w:val="0"/>
              <w:spacing w:line="240" w:lineRule="auto"/>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2、对各类自然保护区、人文景观、风景旅游区、城市周围、主要交通干线两侧可视范围内地形地貌景观影响较轻。</w:t>
            </w:r>
          </w:p>
        </w:tc>
        <w:tc>
          <w:tcPr>
            <w:tcW w:w="2071" w:type="dxa"/>
            <w:shd w:val="clear" w:color="auto" w:fill="auto"/>
          </w:tcPr>
          <w:p w14:paraId="21C41EF9">
            <w:pPr>
              <w:widowControl/>
              <w:topLinePunct/>
              <w:snapToGrid w:val="0"/>
              <w:spacing w:line="240" w:lineRule="auto"/>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1、占用破坏林地或草地小于等于2h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r>
              <w:rPr>
                <w:rFonts w:ascii="Times New Roman" w:hAnsi="Times New Roman" w:cs="Times New Roman" w:eastAsiaTheme="minorEastAsia"/>
                <w:color w:val="000000" w:themeColor="text1"/>
                <w:kern w:val="0"/>
                <w:sz w:val="24"/>
                <w:szCs w:val="24"/>
                <w:lang w:eastAsia="en-US"/>
              </w:rPr>
              <w:t>；</w:t>
            </w:r>
          </w:p>
          <w:p w14:paraId="0C76E3B8">
            <w:pPr>
              <w:widowControl/>
              <w:topLinePunct/>
              <w:snapToGrid w:val="0"/>
              <w:spacing w:line="240" w:lineRule="auto"/>
              <w:rPr>
                <w:rFonts w:ascii="Times New Roman" w:hAnsi="Times New Roman" w:cs="Times New Roman" w:eastAsiaTheme="minorEastAsia"/>
                <w:b/>
                <w:bCs/>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2、占用破坏荒山或未开发利用土地小于等于10h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r>
              <w:rPr>
                <w:rFonts w:ascii="Times New Roman" w:hAnsi="Times New Roman" w:cs="Times New Roman" w:eastAsiaTheme="minorEastAsia"/>
                <w:color w:val="000000" w:themeColor="text1"/>
                <w:kern w:val="0"/>
                <w:sz w:val="24"/>
                <w:szCs w:val="24"/>
                <w:lang w:eastAsia="en-US"/>
              </w:rPr>
              <w:t>。</w:t>
            </w:r>
          </w:p>
        </w:tc>
      </w:tr>
    </w:tbl>
    <w:p w14:paraId="7F767797">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（2）分区原则及方法</w:t>
      </w:r>
    </w:p>
    <w:p w14:paraId="19C46E15">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1）分区原则</w:t>
      </w:r>
    </w:p>
    <w:p w14:paraId="5EAE5CD5">
      <w:pPr>
        <w:pStyle w:val="178"/>
        <w:topLinePunct/>
        <w:rPr>
          <w:rFonts w:ascii="Times New Roman" w:hAnsi="Times New Roman" w:cs="Times New Roman"/>
          <w:color w:val="000000" w:themeColor="text1"/>
        </w:rPr>
      </w:pPr>
      <w:r>
        <w:rPr>
          <w:rFonts w:ascii="Times New Roman" w:hAnsi="Times New Roman" w:cs="Times New Roman"/>
          <w:color w:val="000000" w:themeColor="text1"/>
        </w:rPr>
        <w:t>“利于保护与恢复治理”原则：分区时充分考虑开展保护与恢复治理工作的方便性和可操作性。</w:t>
      </w:r>
    </w:p>
    <w:p w14:paraId="767DC2CF">
      <w:pPr>
        <w:pStyle w:val="178"/>
        <w:topLinePunct/>
        <w:rPr>
          <w:rFonts w:ascii="Times New Roman" w:hAnsi="Times New Roman" w:cs="Times New Roman"/>
          <w:color w:val="000000" w:themeColor="text1"/>
        </w:rPr>
      </w:pPr>
      <w:r>
        <w:rPr>
          <w:rFonts w:ascii="Times New Roman" w:hAnsi="Times New Roman" w:cs="Times New Roman"/>
          <w:color w:val="000000" w:themeColor="text1"/>
        </w:rPr>
        <w:t>“统筹规划，突出重点”原则：分区时结合矿山保护、开采等相关规划，重点突出对矿山地质环境有重要影响的区段。</w:t>
      </w:r>
    </w:p>
    <w:p w14:paraId="17B01955">
      <w:pPr>
        <w:pStyle w:val="178"/>
        <w:topLinePunct/>
        <w:rPr>
          <w:rFonts w:ascii="Times New Roman" w:hAnsi="Times New Roman" w:cs="Times New Roman"/>
          <w:color w:val="000000" w:themeColor="text1"/>
        </w:rPr>
      </w:pPr>
      <w:r>
        <w:rPr>
          <w:rFonts w:ascii="Times New Roman" w:hAnsi="Times New Roman" w:cs="Times New Roman"/>
          <w:color w:val="000000" w:themeColor="text1"/>
        </w:rPr>
        <w:t>“区内相似，区际相异”原则：根据矿区地质环境问题类型及重点防治对象的不同，同一类地质环境问题或同一类治理方式划为同一个区或亚区。</w:t>
      </w:r>
    </w:p>
    <w:p w14:paraId="29921457">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“有利于矿山发展”原则：保护与恢复治理分区要有利于建设绿色和谐矿山，有利于矿山实施可持续开采，有利于解决矿区人居安全问题。</w:t>
      </w:r>
    </w:p>
    <w:p w14:paraId="0F3E376C">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2）分区方法</w:t>
      </w:r>
    </w:p>
    <w:p w14:paraId="7861B19D">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在对地质灾害、含水层、水土环境污染、地形地貌景观的影响和破坏进行现状和预测评估的基础上，选取4个方面的评估结果作为预测指标，利用叠加取差法进行矿山地质环境保护与治理恢复分区，分区标准见表3-9：</w:t>
      </w:r>
    </w:p>
    <w:p w14:paraId="14059170">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表3-12 矿山地质环境保护与治理恢复分区表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3031"/>
        <w:gridCol w:w="2057"/>
        <w:gridCol w:w="1922"/>
        <w:gridCol w:w="2090"/>
      </w:tblGrid>
      <w:tr w14:paraId="79B416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39" w:type="dxa"/>
            <w:vMerge w:val="restart"/>
            <w:vAlign w:val="center"/>
          </w:tcPr>
          <w:p w14:paraId="4FEED37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现状评估</w:t>
            </w:r>
          </w:p>
        </w:tc>
        <w:tc>
          <w:tcPr>
            <w:tcW w:w="5683" w:type="dxa"/>
            <w:gridSpan w:val="3"/>
            <w:vAlign w:val="center"/>
          </w:tcPr>
          <w:p w14:paraId="64260C1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预测评估</w:t>
            </w:r>
          </w:p>
        </w:tc>
      </w:tr>
      <w:tr w14:paraId="69F255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0" w:hRule="atLeast"/>
        </w:trPr>
        <w:tc>
          <w:tcPr>
            <w:tcW w:w="2839" w:type="dxa"/>
            <w:vMerge w:val="continue"/>
            <w:vAlign w:val="center"/>
          </w:tcPr>
          <w:p w14:paraId="14E9210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926" w:type="dxa"/>
            <w:vAlign w:val="center"/>
          </w:tcPr>
          <w:p w14:paraId="7CE1FC34">
            <w:pPr>
              <w:widowControl/>
              <w:topLinePunct/>
              <w:snapToGrid w:val="0"/>
              <w:spacing w:line="240" w:lineRule="auto"/>
              <w:jc w:val="center"/>
              <w:rPr>
                <w:rFonts w:ascii="Times New Roman" w:hAnsi="Times New Roman" w:cs="Times New Roman"/>
                <w:bCs/>
                <w:color w:val="000000" w:themeColor="text1"/>
                <w:kern w:val="0"/>
                <w:sz w:val="24"/>
                <w:szCs w:val="24"/>
              </w:rPr>
            </w:pPr>
            <w:r>
              <w:rPr>
                <w:rFonts w:ascii="Times New Roman" w:hAnsi="Times New Roman" w:cs="Times New Roman"/>
                <w:bCs/>
                <w:color w:val="000000" w:themeColor="text1"/>
                <w:kern w:val="0"/>
                <w:sz w:val="24"/>
                <w:szCs w:val="24"/>
              </w:rPr>
              <w:t>严重</w:t>
            </w:r>
          </w:p>
        </w:tc>
        <w:tc>
          <w:tcPr>
            <w:tcW w:w="1800" w:type="dxa"/>
            <w:vAlign w:val="center"/>
          </w:tcPr>
          <w:p w14:paraId="529D5F12">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较严重</w:t>
            </w:r>
          </w:p>
        </w:tc>
        <w:tc>
          <w:tcPr>
            <w:tcW w:w="1957" w:type="dxa"/>
            <w:vAlign w:val="center"/>
          </w:tcPr>
          <w:p w14:paraId="3CE835C3">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较轻</w:t>
            </w:r>
          </w:p>
        </w:tc>
      </w:tr>
      <w:tr w14:paraId="1D082F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39" w:type="dxa"/>
            <w:vAlign w:val="center"/>
          </w:tcPr>
          <w:p w14:paraId="6EE81529">
            <w:pPr>
              <w:widowControl/>
              <w:topLinePunct/>
              <w:snapToGrid w:val="0"/>
              <w:spacing w:line="240" w:lineRule="auto"/>
              <w:jc w:val="center"/>
              <w:rPr>
                <w:rFonts w:ascii="Times New Roman" w:hAnsi="Times New Roman" w:cs="Times New Roman"/>
                <w:bCs/>
                <w:color w:val="000000" w:themeColor="text1"/>
                <w:kern w:val="0"/>
                <w:sz w:val="24"/>
                <w:szCs w:val="24"/>
              </w:rPr>
            </w:pPr>
            <w:r>
              <w:rPr>
                <w:rFonts w:ascii="Times New Roman" w:hAnsi="Times New Roman" w:cs="Times New Roman"/>
                <w:bCs/>
                <w:color w:val="000000" w:themeColor="text1"/>
                <w:kern w:val="0"/>
                <w:sz w:val="24"/>
                <w:szCs w:val="24"/>
              </w:rPr>
              <w:t>严重</w:t>
            </w:r>
          </w:p>
        </w:tc>
        <w:tc>
          <w:tcPr>
            <w:tcW w:w="1926" w:type="dxa"/>
            <w:vAlign w:val="center"/>
          </w:tcPr>
          <w:p w14:paraId="1BE045F7">
            <w:pPr>
              <w:widowControl/>
              <w:topLinePunct/>
              <w:snapToGrid w:val="0"/>
              <w:spacing w:line="240" w:lineRule="auto"/>
              <w:jc w:val="center"/>
              <w:rPr>
                <w:rFonts w:ascii="Times New Roman" w:hAnsi="Times New Roman" w:cs="Times New Roman"/>
                <w:bCs/>
                <w:color w:val="000000" w:themeColor="text1"/>
                <w:kern w:val="0"/>
                <w:sz w:val="24"/>
                <w:szCs w:val="24"/>
              </w:rPr>
            </w:pPr>
            <w:r>
              <w:rPr>
                <w:rFonts w:ascii="Times New Roman" w:hAnsi="Times New Roman" w:cs="Times New Roman"/>
                <w:bCs/>
                <w:color w:val="000000" w:themeColor="text1"/>
                <w:kern w:val="0"/>
                <w:sz w:val="24"/>
                <w:szCs w:val="24"/>
              </w:rPr>
              <w:t>重点区</w:t>
            </w:r>
          </w:p>
        </w:tc>
        <w:tc>
          <w:tcPr>
            <w:tcW w:w="1800" w:type="dxa"/>
            <w:vAlign w:val="center"/>
          </w:tcPr>
          <w:p w14:paraId="6F71E3F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重点区</w:t>
            </w:r>
          </w:p>
        </w:tc>
        <w:tc>
          <w:tcPr>
            <w:tcW w:w="1957" w:type="dxa"/>
            <w:vAlign w:val="center"/>
          </w:tcPr>
          <w:p w14:paraId="413540B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重点区</w:t>
            </w:r>
          </w:p>
        </w:tc>
      </w:tr>
      <w:tr w14:paraId="6B99F5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39" w:type="dxa"/>
            <w:vAlign w:val="center"/>
          </w:tcPr>
          <w:p w14:paraId="19E4DFC2">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较严重</w:t>
            </w:r>
          </w:p>
        </w:tc>
        <w:tc>
          <w:tcPr>
            <w:tcW w:w="1926" w:type="dxa"/>
            <w:vAlign w:val="center"/>
          </w:tcPr>
          <w:p w14:paraId="10D50A7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重点区</w:t>
            </w:r>
          </w:p>
        </w:tc>
        <w:tc>
          <w:tcPr>
            <w:tcW w:w="1800" w:type="dxa"/>
            <w:vAlign w:val="center"/>
          </w:tcPr>
          <w:p w14:paraId="007B4B43">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次重点区</w:t>
            </w:r>
          </w:p>
        </w:tc>
        <w:tc>
          <w:tcPr>
            <w:tcW w:w="1957" w:type="dxa"/>
            <w:vAlign w:val="center"/>
          </w:tcPr>
          <w:p w14:paraId="2B102F5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次重点区</w:t>
            </w:r>
          </w:p>
        </w:tc>
      </w:tr>
      <w:tr w14:paraId="0F8679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39" w:type="dxa"/>
            <w:vAlign w:val="center"/>
          </w:tcPr>
          <w:p w14:paraId="531BB0C9">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较轻</w:t>
            </w:r>
          </w:p>
        </w:tc>
        <w:tc>
          <w:tcPr>
            <w:tcW w:w="1926" w:type="dxa"/>
            <w:vAlign w:val="center"/>
          </w:tcPr>
          <w:p w14:paraId="52DB597E">
            <w:pPr>
              <w:widowControl/>
              <w:topLinePunct/>
              <w:snapToGrid w:val="0"/>
              <w:spacing w:line="240" w:lineRule="auto"/>
              <w:jc w:val="center"/>
              <w:rPr>
                <w:rFonts w:ascii="Times New Roman" w:hAnsi="Times New Roman" w:cs="Times New Roman"/>
                <w:bCs/>
                <w:color w:val="000000" w:themeColor="text1"/>
                <w:kern w:val="0"/>
                <w:sz w:val="24"/>
                <w:szCs w:val="24"/>
              </w:rPr>
            </w:pPr>
            <w:r>
              <w:rPr>
                <w:rFonts w:ascii="Times New Roman" w:hAnsi="Times New Roman" w:cs="Times New Roman"/>
                <w:bCs/>
                <w:color w:val="000000" w:themeColor="text1"/>
                <w:kern w:val="0"/>
                <w:sz w:val="24"/>
                <w:szCs w:val="24"/>
              </w:rPr>
              <w:t>重点区</w:t>
            </w:r>
          </w:p>
        </w:tc>
        <w:tc>
          <w:tcPr>
            <w:tcW w:w="1800" w:type="dxa"/>
            <w:vAlign w:val="center"/>
          </w:tcPr>
          <w:p w14:paraId="66E358C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次重点区</w:t>
            </w:r>
          </w:p>
        </w:tc>
        <w:tc>
          <w:tcPr>
            <w:tcW w:w="1957" w:type="dxa"/>
            <w:vAlign w:val="center"/>
          </w:tcPr>
          <w:p w14:paraId="0AC78880">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一般区</w:t>
            </w:r>
          </w:p>
        </w:tc>
      </w:tr>
    </w:tbl>
    <w:p w14:paraId="3311C0E1">
      <w:pPr>
        <w:pStyle w:val="178"/>
        <w:topLinePunct/>
        <w:rPr>
          <w:rFonts w:ascii="Times New Roman" w:hAnsi="Times New Roman" w:cs="Times New Roman"/>
          <w:color w:val="000000" w:themeColor="text1"/>
        </w:rPr>
      </w:pPr>
      <w:r>
        <w:rPr>
          <w:rFonts w:ascii="Times New Roman" w:hAnsi="Times New Roman" w:cs="Times New Roman"/>
          <w:color w:val="000000" w:themeColor="text1"/>
        </w:rPr>
        <w:t>（3）矿山地质环境保护与治理恢复分区评述</w:t>
      </w:r>
    </w:p>
    <w:p w14:paraId="095B139A">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本次评估范围</w:t>
      </w:r>
      <w:r>
        <w:rPr>
          <w:rFonts w:hint="eastAsia" w:ascii="Times New Roman" w:hAnsi="Times New Roman" w:cs="Times New Roman"/>
          <w:color w:val="000000" w:themeColor="text1"/>
        </w:rPr>
        <w:t>19.77h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根据分区原则和方法，结合本矿实际，坚持“以人为本”，在对本矿区矿山地质环境影响现状评估和预测评估的基础上，根据本矿区矿山地质环境影响分区分为较轻区和严重区的情况，确定本项目矿山地质环境保护与恢复治理分区结果为一般防治区和次重点防治区。</w:t>
      </w:r>
    </w:p>
    <w:p w14:paraId="1DA4FF02">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1）矿山地质环境次重点防治区：主要分布在矿山已损毁区和拟损毁区，包括露天采场（</w:t>
      </w:r>
      <w:r>
        <w:rPr>
          <w:rFonts w:hint="eastAsia" w:ascii="Times New Roman" w:hAnsi="Times New Roman" w:cs="Times New Roman"/>
          <w:color w:val="000000" w:themeColor="text1"/>
        </w:rPr>
        <w:t>15.63</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）、排土场（0.</w:t>
      </w:r>
      <w:r>
        <w:rPr>
          <w:rFonts w:hint="eastAsia" w:ascii="Times New Roman" w:hAnsi="Times New Roman" w:cs="Times New Roman"/>
          <w:color w:val="000000" w:themeColor="text1"/>
        </w:rPr>
        <w:t>36</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），面积为</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区内潜在崩塌、水土侵蚀危害程度轻，其危险性小；冻土冻融地质灾害弱发育，危害程度轻，危险性小；矿山开采对含水层影响较轻；对地形地貌景观的影响较严重。矿山地质环境影响预测评估结果较严重，确定该区为次重点防治区。</w:t>
      </w:r>
    </w:p>
    <w:p w14:paraId="5F385765">
      <w:pPr>
        <w:pStyle w:val="178"/>
        <w:topLinePunct/>
        <w:rPr>
          <w:rFonts w:ascii="Times New Roman" w:hAnsi="Times New Roman" w:cs="Times New Roman"/>
          <w:color w:val="000000" w:themeColor="text1"/>
        </w:rPr>
      </w:pPr>
      <w:r>
        <w:rPr>
          <w:rFonts w:ascii="Times New Roman" w:hAnsi="Times New Roman" w:cs="Times New Roman"/>
          <w:color w:val="000000" w:themeColor="text1"/>
        </w:rPr>
        <w:t>主要防治措施：对拟开采的露天采场进行表土剥离、设立围栏、警示牌、进行矿山地质环境监测；矿山闭坑后露天开采平台、排土场覆土、种树，开采平台四周边坡底部栽植常春藤。</w:t>
      </w:r>
    </w:p>
    <w:p w14:paraId="4615269B">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2）矿山地质环境一般防治区：主要为除已损毁区和拟损毁区以外范围，面积为</w:t>
      </w:r>
      <w:r>
        <w:rPr>
          <w:rFonts w:hint="eastAsia" w:ascii="Times New Roman" w:hAnsi="Times New Roman" w:cs="Times New Roman"/>
          <w:color w:val="000000" w:themeColor="text1"/>
        </w:rPr>
        <w:t>3.78</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潜在崩塌、水土侵蚀危害程度轻，危险性小；冻土冻融地质灾害弱发育，危害程度轻，危险性小；区内没进行采矿活动，对含水层、地形地貌景观影响较轻。矿山地质环境影响预测评估结果轻，确定该区为一般防治区。</w:t>
      </w:r>
    </w:p>
    <w:p w14:paraId="05238258">
      <w:pPr>
        <w:pStyle w:val="178"/>
        <w:topLinePunct/>
        <w:rPr>
          <w:rFonts w:ascii="Times New Roman" w:hAnsi="Times New Roman" w:cs="Times New Roman"/>
          <w:color w:val="000000" w:themeColor="text1"/>
        </w:rPr>
      </w:pPr>
      <w:r>
        <w:rPr>
          <w:rFonts w:ascii="Times New Roman" w:hAnsi="Times New Roman" w:cs="Times New Roman"/>
          <w:color w:val="000000" w:themeColor="text1"/>
        </w:rPr>
        <w:t>主要防治措施：对该区定期监测，做好维护。</w:t>
      </w:r>
    </w:p>
    <w:p w14:paraId="739EC9EE">
      <w:pPr>
        <w:pStyle w:val="179"/>
        <w:topLinePunct/>
        <w:rPr>
          <w:rFonts w:ascii="Times New Roman" w:hAnsi="Times New Roman" w:cs="Times New Roman"/>
          <w:color w:val="000000" w:themeColor="text1"/>
        </w:rPr>
      </w:pPr>
      <w:r>
        <w:rPr>
          <w:rFonts w:ascii="Times New Roman" w:hAnsi="Times New Roman" w:cs="Times New Roman"/>
          <w:color w:val="000000" w:themeColor="text1"/>
        </w:rPr>
        <w:t>2、生态修复区（复垦区）范围</w:t>
      </w:r>
    </w:p>
    <w:p w14:paraId="0776FE3B">
      <w:pPr>
        <w:pStyle w:val="178"/>
        <w:topLinePunct/>
        <w:rPr>
          <w:rFonts w:ascii="Times New Roman" w:hAnsi="Times New Roman" w:cs="Times New Roman"/>
          <w:color w:val="000000" w:themeColor="text1"/>
        </w:rPr>
      </w:pPr>
      <w:r>
        <w:rPr>
          <w:rFonts w:ascii="Times New Roman" w:hAnsi="Times New Roman" w:cs="Times New Roman"/>
          <w:color w:val="000000" w:themeColor="text1"/>
        </w:rPr>
        <w:t>依据该矿山的实际用地情况，确定项目复垦区为露天采场和排土场，全部位于矿区范围内，其面积为</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；该项目结束后，不存在永久性建设用地，故复垦责任范围与复垦区相同，因此，复垦责任范围面积为</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，见表3-13。</w:t>
      </w:r>
    </w:p>
    <w:p w14:paraId="053949E2">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表3-13</w:t>
      </w:r>
      <w:r>
        <w:rPr>
          <w:rFonts w:ascii="Times New Roman" w:hAnsi="Times New Roman"/>
          <w:color w:val="000000" w:themeColor="text1"/>
        </w:rPr>
        <w:tab/>
      </w:r>
      <w:r>
        <w:rPr>
          <w:rFonts w:ascii="Times New Roman" w:hAnsi="Times New Roman"/>
          <w:color w:val="000000" w:themeColor="text1"/>
        </w:rPr>
        <w:t>复垦区及复垦责任范围土地面积统计表</w:t>
      </w:r>
    </w:p>
    <w:tbl>
      <w:tblPr>
        <w:tblStyle w:val="42"/>
        <w:tblW w:w="501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740"/>
        <w:gridCol w:w="2018"/>
        <w:gridCol w:w="1049"/>
        <w:gridCol w:w="1698"/>
        <w:gridCol w:w="1489"/>
        <w:gridCol w:w="2128"/>
      </w:tblGrid>
      <w:tr w14:paraId="314DFB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756" w:type="dxa"/>
            <w:gridSpan w:val="2"/>
            <w:tcBorders>
              <w:bottom w:val="single" w:color="auto" w:sz="4" w:space="0"/>
            </w:tcBorders>
            <w:shd w:val="clear" w:color="auto" w:fill="auto"/>
            <w:vAlign w:val="center"/>
          </w:tcPr>
          <w:p w14:paraId="20D3F47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一级地类</w:t>
            </w:r>
          </w:p>
        </w:tc>
        <w:tc>
          <w:tcPr>
            <w:tcW w:w="2745" w:type="dxa"/>
            <w:gridSpan w:val="2"/>
            <w:tcBorders>
              <w:bottom w:val="single" w:color="auto" w:sz="4" w:space="0"/>
            </w:tcBorders>
            <w:shd w:val="clear" w:color="auto" w:fill="auto"/>
            <w:vAlign w:val="center"/>
          </w:tcPr>
          <w:p w14:paraId="40D6785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二级地类</w:t>
            </w:r>
          </w:p>
        </w:tc>
        <w:tc>
          <w:tcPr>
            <w:tcW w:w="1488" w:type="dxa"/>
            <w:vMerge w:val="restart"/>
            <w:shd w:val="clear" w:color="auto" w:fill="auto"/>
            <w:vAlign w:val="center"/>
          </w:tcPr>
          <w:p w14:paraId="24E410E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面积（h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2126" w:type="dxa"/>
            <w:vMerge w:val="restart"/>
            <w:shd w:val="clear" w:color="auto" w:fill="auto"/>
            <w:vAlign w:val="center"/>
          </w:tcPr>
          <w:p w14:paraId="48EB7C2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占总面积比例（%）</w:t>
            </w:r>
          </w:p>
        </w:tc>
      </w:tr>
      <w:tr w14:paraId="028E82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tcBorders>
              <w:top w:val="single" w:color="auto" w:sz="4" w:space="0"/>
            </w:tcBorders>
            <w:shd w:val="clear" w:color="auto" w:fill="auto"/>
            <w:vAlign w:val="center"/>
          </w:tcPr>
          <w:p w14:paraId="7E65366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编码</w:t>
            </w:r>
          </w:p>
        </w:tc>
        <w:tc>
          <w:tcPr>
            <w:tcW w:w="2016" w:type="dxa"/>
            <w:tcBorders>
              <w:top w:val="single" w:color="auto" w:sz="4" w:space="0"/>
            </w:tcBorders>
            <w:shd w:val="clear" w:color="auto" w:fill="auto"/>
            <w:vAlign w:val="center"/>
          </w:tcPr>
          <w:p w14:paraId="68A552B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名称</w:t>
            </w:r>
          </w:p>
        </w:tc>
        <w:tc>
          <w:tcPr>
            <w:tcW w:w="1048" w:type="dxa"/>
            <w:tcBorders>
              <w:top w:val="single" w:color="auto" w:sz="4" w:space="0"/>
            </w:tcBorders>
            <w:shd w:val="clear" w:color="auto" w:fill="auto"/>
            <w:vAlign w:val="center"/>
          </w:tcPr>
          <w:p w14:paraId="4E3EEED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编码</w:t>
            </w:r>
          </w:p>
        </w:tc>
        <w:tc>
          <w:tcPr>
            <w:tcW w:w="1697" w:type="dxa"/>
            <w:tcBorders>
              <w:top w:val="single" w:color="auto" w:sz="4" w:space="0"/>
            </w:tcBorders>
            <w:shd w:val="clear" w:color="auto" w:fill="auto"/>
            <w:vAlign w:val="center"/>
          </w:tcPr>
          <w:p w14:paraId="6F544C6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名称</w:t>
            </w:r>
          </w:p>
        </w:tc>
        <w:tc>
          <w:tcPr>
            <w:tcW w:w="1488" w:type="dxa"/>
            <w:vMerge w:val="continue"/>
            <w:shd w:val="clear" w:color="auto" w:fill="auto"/>
            <w:vAlign w:val="center"/>
          </w:tcPr>
          <w:p w14:paraId="2F04AA15">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126" w:type="dxa"/>
            <w:vMerge w:val="continue"/>
            <w:shd w:val="clear" w:color="auto" w:fill="auto"/>
            <w:vAlign w:val="center"/>
          </w:tcPr>
          <w:p w14:paraId="75A3B7D5">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708D11F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vMerge w:val="restart"/>
            <w:shd w:val="clear" w:color="auto" w:fill="auto"/>
            <w:vAlign w:val="center"/>
          </w:tcPr>
          <w:p w14:paraId="1AFF4ED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w:t>
            </w:r>
          </w:p>
        </w:tc>
        <w:tc>
          <w:tcPr>
            <w:tcW w:w="2016" w:type="dxa"/>
            <w:vMerge w:val="restart"/>
            <w:shd w:val="clear" w:color="auto" w:fill="auto"/>
            <w:vAlign w:val="center"/>
          </w:tcPr>
          <w:p w14:paraId="38FF49A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耕地</w:t>
            </w:r>
          </w:p>
        </w:tc>
        <w:tc>
          <w:tcPr>
            <w:tcW w:w="1048" w:type="dxa"/>
            <w:shd w:val="clear" w:color="auto" w:fill="auto"/>
            <w:vAlign w:val="center"/>
          </w:tcPr>
          <w:p w14:paraId="1EB3B46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0103</w:t>
            </w:r>
          </w:p>
        </w:tc>
        <w:tc>
          <w:tcPr>
            <w:tcW w:w="1697" w:type="dxa"/>
            <w:shd w:val="clear" w:color="auto" w:fill="auto"/>
            <w:vAlign w:val="center"/>
          </w:tcPr>
          <w:p w14:paraId="76746EEA">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旱地</w:t>
            </w:r>
          </w:p>
        </w:tc>
        <w:tc>
          <w:tcPr>
            <w:tcW w:w="1488" w:type="dxa"/>
            <w:shd w:val="clear" w:color="auto" w:fill="auto"/>
            <w:vAlign w:val="center"/>
          </w:tcPr>
          <w:p w14:paraId="177A67CE">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0.20 </w:t>
            </w:r>
          </w:p>
        </w:tc>
        <w:tc>
          <w:tcPr>
            <w:tcW w:w="2126" w:type="dxa"/>
            <w:shd w:val="clear" w:color="auto" w:fill="auto"/>
            <w:vAlign w:val="center"/>
          </w:tcPr>
          <w:p w14:paraId="5EE51E64">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1.25 </w:t>
            </w:r>
          </w:p>
        </w:tc>
      </w:tr>
      <w:tr w14:paraId="0B1959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vMerge w:val="continue"/>
            <w:shd w:val="clear" w:color="auto" w:fill="auto"/>
            <w:vAlign w:val="center"/>
          </w:tcPr>
          <w:p w14:paraId="60D89858">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016" w:type="dxa"/>
            <w:vMerge w:val="continue"/>
            <w:shd w:val="clear" w:color="auto" w:fill="auto"/>
            <w:vAlign w:val="center"/>
          </w:tcPr>
          <w:p w14:paraId="1B79F77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048" w:type="dxa"/>
            <w:shd w:val="clear" w:color="auto" w:fill="auto"/>
            <w:vAlign w:val="center"/>
          </w:tcPr>
          <w:p w14:paraId="7B9D8E5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c>
          <w:tcPr>
            <w:tcW w:w="1697" w:type="dxa"/>
            <w:shd w:val="clear" w:color="auto" w:fill="auto"/>
            <w:vAlign w:val="center"/>
          </w:tcPr>
          <w:p w14:paraId="39076043">
            <w:pPr>
              <w:topLinePunct/>
              <w:snapToGrid w:val="0"/>
              <w:spacing w:line="240" w:lineRule="auto"/>
              <w:jc w:val="center"/>
              <w:rPr>
                <w:rFonts w:ascii="Times New Roman" w:hAnsi="Times New Roman" w:cs="Times New Roman"/>
                <w:color w:val="000000" w:themeColor="text1"/>
                <w:kern w:val="0"/>
                <w:sz w:val="24"/>
                <w:szCs w:val="24"/>
              </w:rPr>
            </w:pPr>
          </w:p>
        </w:tc>
        <w:tc>
          <w:tcPr>
            <w:tcW w:w="1488" w:type="dxa"/>
            <w:shd w:val="clear" w:color="auto" w:fill="auto"/>
            <w:vAlign w:val="center"/>
          </w:tcPr>
          <w:p w14:paraId="67FB20DA">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0.20 </w:t>
            </w:r>
          </w:p>
        </w:tc>
        <w:tc>
          <w:tcPr>
            <w:tcW w:w="2126" w:type="dxa"/>
            <w:shd w:val="clear" w:color="auto" w:fill="auto"/>
            <w:vAlign w:val="center"/>
          </w:tcPr>
          <w:p w14:paraId="522EA0F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1.25 </w:t>
            </w:r>
          </w:p>
        </w:tc>
      </w:tr>
      <w:tr w14:paraId="552BC5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vMerge w:val="restart"/>
            <w:shd w:val="clear" w:color="auto" w:fill="auto"/>
            <w:vAlign w:val="center"/>
          </w:tcPr>
          <w:p w14:paraId="3E21378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w:t>
            </w:r>
            <w:r>
              <w:rPr>
                <w:rFonts w:hint="eastAsia" w:ascii="Times New Roman" w:hAnsi="Times New Roman" w:cs="Times New Roman"/>
                <w:color w:val="000000" w:themeColor="text1"/>
                <w:kern w:val="0"/>
                <w:sz w:val="24"/>
                <w:szCs w:val="24"/>
              </w:rPr>
              <w:t>4</w:t>
            </w:r>
          </w:p>
        </w:tc>
        <w:tc>
          <w:tcPr>
            <w:tcW w:w="2016" w:type="dxa"/>
            <w:vMerge w:val="restart"/>
            <w:shd w:val="clear" w:color="auto" w:fill="auto"/>
            <w:vAlign w:val="center"/>
          </w:tcPr>
          <w:p w14:paraId="23A16D0B">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草地</w:t>
            </w:r>
          </w:p>
        </w:tc>
        <w:tc>
          <w:tcPr>
            <w:tcW w:w="1048" w:type="dxa"/>
            <w:shd w:val="clear" w:color="auto" w:fill="auto"/>
            <w:vAlign w:val="center"/>
          </w:tcPr>
          <w:p w14:paraId="5E816379">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0404</w:t>
            </w:r>
          </w:p>
        </w:tc>
        <w:tc>
          <w:tcPr>
            <w:tcW w:w="1697" w:type="dxa"/>
            <w:shd w:val="clear" w:color="auto" w:fill="auto"/>
            <w:vAlign w:val="center"/>
          </w:tcPr>
          <w:p w14:paraId="202F9016">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w:t>
            </w:r>
            <w:r>
              <w:rPr>
                <w:rFonts w:hint="eastAsia" w:ascii="Times New Roman" w:hAnsi="Times New Roman" w:cs="Times New Roman"/>
                <w:color w:val="000000" w:themeColor="text1"/>
                <w:kern w:val="0"/>
                <w:sz w:val="24"/>
                <w:szCs w:val="24"/>
              </w:rPr>
              <w:t>草地</w:t>
            </w:r>
          </w:p>
        </w:tc>
        <w:tc>
          <w:tcPr>
            <w:tcW w:w="1488" w:type="dxa"/>
            <w:shd w:val="clear" w:color="auto" w:fill="auto"/>
            <w:vAlign w:val="center"/>
          </w:tcPr>
          <w:p w14:paraId="5EE1CE9C">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0.70</w:t>
            </w:r>
          </w:p>
        </w:tc>
        <w:tc>
          <w:tcPr>
            <w:tcW w:w="2126" w:type="dxa"/>
            <w:shd w:val="clear" w:color="auto" w:fill="auto"/>
            <w:vAlign w:val="center"/>
          </w:tcPr>
          <w:p w14:paraId="762B1972">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4.38 </w:t>
            </w:r>
          </w:p>
        </w:tc>
      </w:tr>
      <w:tr w14:paraId="46FEEA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vMerge w:val="continue"/>
            <w:shd w:val="clear" w:color="auto" w:fill="auto"/>
            <w:vAlign w:val="center"/>
          </w:tcPr>
          <w:p w14:paraId="14BCF7C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016" w:type="dxa"/>
            <w:vMerge w:val="continue"/>
            <w:shd w:val="clear" w:color="auto" w:fill="auto"/>
            <w:vAlign w:val="center"/>
          </w:tcPr>
          <w:p w14:paraId="277A3F1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048" w:type="dxa"/>
            <w:shd w:val="clear" w:color="auto" w:fill="auto"/>
            <w:vAlign w:val="center"/>
          </w:tcPr>
          <w:p w14:paraId="6E00702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c>
          <w:tcPr>
            <w:tcW w:w="1697" w:type="dxa"/>
            <w:shd w:val="clear" w:color="auto" w:fill="auto"/>
            <w:vAlign w:val="center"/>
          </w:tcPr>
          <w:p w14:paraId="03C783E7">
            <w:pPr>
              <w:topLinePunct/>
              <w:snapToGrid w:val="0"/>
              <w:spacing w:line="240" w:lineRule="auto"/>
              <w:jc w:val="center"/>
              <w:rPr>
                <w:rFonts w:ascii="Times New Roman" w:hAnsi="Times New Roman" w:cs="Times New Roman"/>
                <w:color w:val="000000" w:themeColor="text1"/>
                <w:kern w:val="0"/>
                <w:sz w:val="24"/>
                <w:szCs w:val="24"/>
              </w:rPr>
            </w:pPr>
          </w:p>
        </w:tc>
        <w:tc>
          <w:tcPr>
            <w:tcW w:w="1488" w:type="dxa"/>
            <w:shd w:val="clear" w:color="auto" w:fill="auto"/>
            <w:vAlign w:val="center"/>
          </w:tcPr>
          <w:p w14:paraId="6C80B6A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0.70</w:t>
            </w:r>
          </w:p>
        </w:tc>
        <w:tc>
          <w:tcPr>
            <w:tcW w:w="2126" w:type="dxa"/>
            <w:shd w:val="clear" w:color="auto" w:fill="auto"/>
            <w:vAlign w:val="center"/>
          </w:tcPr>
          <w:p w14:paraId="1B55EC39">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4.38 </w:t>
            </w:r>
          </w:p>
        </w:tc>
      </w:tr>
      <w:tr w14:paraId="3C60AF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vMerge w:val="restart"/>
            <w:shd w:val="clear" w:color="auto" w:fill="auto"/>
            <w:noWrap/>
            <w:vAlign w:val="center"/>
          </w:tcPr>
          <w:p w14:paraId="01831D7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w:t>
            </w:r>
          </w:p>
        </w:tc>
        <w:tc>
          <w:tcPr>
            <w:tcW w:w="2016" w:type="dxa"/>
            <w:vMerge w:val="restart"/>
            <w:shd w:val="clear" w:color="auto" w:fill="auto"/>
            <w:vAlign w:val="center"/>
          </w:tcPr>
          <w:p w14:paraId="1ADC7FE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工矿仓储用地</w:t>
            </w:r>
          </w:p>
        </w:tc>
        <w:tc>
          <w:tcPr>
            <w:tcW w:w="1048" w:type="dxa"/>
            <w:shd w:val="clear" w:color="auto" w:fill="auto"/>
            <w:vAlign w:val="center"/>
          </w:tcPr>
          <w:p w14:paraId="23E4A5C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0602</w:t>
            </w:r>
          </w:p>
        </w:tc>
        <w:tc>
          <w:tcPr>
            <w:tcW w:w="1697" w:type="dxa"/>
            <w:shd w:val="clear" w:color="auto" w:fill="auto"/>
            <w:vAlign w:val="center"/>
          </w:tcPr>
          <w:p w14:paraId="55820F1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采矿用地</w:t>
            </w:r>
          </w:p>
        </w:tc>
        <w:tc>
          <w:tcPr>
            <w:tcW w:w="1488" w:type="dxa"/>
            <w:shd w:val="clear" w:color="auto" w:fill="auto"/>
            <w:noWrap/>
            <w:vAlign w:val="center"/>
          </w:tcPr>
          <w:p w14:paraId="4830D69A">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15.09 </w:t>
            </w:r>
          </w:p>
        </w:tc>
        <w:tc>
          <w:tcPr>
            <w:tcW w:w="2126" w:type="dxa"/>
            <w:shd w:val="clear" w:color="auto" w:fill="auto"/>
            <w:noWrap/>
            <w:vAlign w:val="center"/>
          </w:tcPr>
          <w:p w14:paraId="61DFD665">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94.37 </w:t>
            </w:r>
          </w:p>
        </w:tc>
      </w:tr>
      <w:tr w14:paraId="52CEE5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40" w:type="dxa"/>
            <w:vMerge w:val="continue"/>
            <w:shd w:val="clear" w:color="auto" w:fill="auto"/>
            <w:noWrap/>
            <w:vAlign w:val="center"/>
          </w:tcPr>
          <w:p w14:paraId="07D3F90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016" w:type="dxa"/>
            <w:vMerge w:val="continue"/>
            <w:shd w:val="clear" w:color="auto" w:fill="auto"/>
            <w:vAlign w:val="center"/>
          </w:tcPr>
          <w:p w14:paraId="2F95695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048" w:type="dxa"/>
            <w:shd w:val="clear" w:color="auto" w:fill="auto"/>
            <w:vAlign w:val="center"/>
          </w:tcPr>
          <w:p w14:paraId="2AFB609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c>
          <w:tcPr>
            <w:tcW w:w="1697" w:type="dxa"/>
            <w:shd w:val="clear" w:color="auto" w:fill="auto"/>
            <w:vAlign w:val="center"/>
          </w:tcPr>
          <w:p w14:paraId="0435917D">
            <w:pPr>
              <w:topLinePunct/>
              <w:snapToGrid w:val="0"/>
              <w:spacing w:line="240" w:lineRule="auto"/>
              <w:jc w:val="center"/>
              <w:rPr>
                <w:rFonts w:ascii="Times New Roman" w:hAnsi="Times New Roman" w:cs="Times New Roman"/>
                <w:color w:val="000000" w:themeColor="text1"/>
                <w:kern w:val="0"/>
                <w:sz w:val="24"/>
                <w:szCs w:val="24"/>
              </w:rPr>
            </w:pPr>
          </w:p>
        </w:tc>
        <w:tc>
          <w:tcPr>
            <w:tcW w:w="1488" w:type="dxa"/>
            <w:shd w:val="clear" w:color="auto" w:fill="auto"/>
            <w:noWrap/>
            <w:vAlign w:val="center"/>
          </w:tcPr>
          <w:p w14:paraId="0879886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15.09 </w:t>
            </w:r>
          </w:p>
        </w:tc>
        <w:tc>
          <w:tcPr>
            <w:tcW w:w="2126" w:type="dxa"/>
            <w:shd w:val="clear" w:color="auto" w:fill="auto"/>
            <w:noWrap/>
            <w:vAlign w:val="center"/>
          </w:tcPr>
          <w:p w14:paraId="1F13FB8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94.37 </w:t>
            </w:r>
          </w:p>
        </w:tc>
      </w:tr>
      <w:tr w14:paraId="5356E42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5501" w:type="dxa"/>
            <w:gridSpan w:val="4"/>
            <w:shd w:val="clear" w:color="auto" w:fill="auto"/>
            <w:vAlign w:val="center"/>
          </w:tcPr>
          <w:p w14:paraId="1BC1C9A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1488" w:type="dxa"/>
            <w:shd w:val="clear" w:color="auto" w:fill="auto"/>
            <w:vAlign w:val="center"/>
          </w:tcPr>
          <w:p w14:paraId="570543F5">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15.99</w:t>
            </w:r>
          </w:p>
        </w:tc>
        <w:tc>
          <w:tcPr>
            <w:tcW w:w="2126" w:type="dxa"/>
            <w:shd w:val="clear" w:color="auto" w:fill="auto"/>
            <w:noWrap/>
            <w:vAlign w:val="center"/>
          </w:tcPr>
          <w:p w14:paraId="4004DFE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100.00</w:t>
            </w:r>
          </w:p>
        </w:tc>
      </w:tr>
    </w:tbl>
    <w:p w14:paraId="3CDE1D32">
      <w:pPr>
        <w:pStyle w:val="179"/>
        <w:topLinePunct/>
        <w:rPr>
          <w:rFonts w:ascii="Times New Roman" w:hAnsi="Times New Roman" w:cs="Times New Roman"/>
          <w:color w:val="000000" w:themeColor="text1"/>
        </w:rPr>
      </w:pPr>
      <w:r>
        <w:rPr>
          <w:rFonts w:ascii="Times New Roman" w:hAnsi="Times New Roman" w:cs="Times New Roman"/>
          <w:color w:val="000000" w:themeColor="text1"/>
        </w:rPr>
        <w:t>3、生态受损分区</w:t>
      </w:r>
    </w:p>
    <w:p w14:paraId="2489FA4D">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根据矿山生态问题，确定生态受损严重区为露天采场（</w:t>
      </w:r>
      <w:r>
        <w:rPr>
          <w:rFonts w:hint="eastAsia" w:ascii="Times New Roman" w:hAnsi="Times New Roman" w:cs="Times New Roman"/>
          <w:color w:val="000000" w:themeColor="text1"/>
        </w:rPr>
        <w:t>15.63</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）、排土场（0.</w:t>
      </w:r>
      <w:r>
        <w:rPr>
          <w:rFonts w:hint="eastAsia" w:ascii="Times New Roman" w:hAnsi="Times New Roman" w:cs="Times New Roman"/>
          <w:color w:val="000000" w:themeColor="text1"/>
        </w:rPr>
        <w:t>36</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 xml:space="preserve">），其面积为 </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；评估区内其他区域划分为生态受损较轻区，面积为</w:t>
      </w:r>
      <w:r>
        <w:rPr>
          <w:rFonts w:hint="eastAsia" w:ascii="Times New Roman" w:hAnsi="Times New Roman" w:cs="Times New Roman"/>
          <w:color w:val="000000" w:themeColor="text1"/>
        </w:rPr>
        <w:t>3.78</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w:t>
      </w:r>
    </w:p>
    <w:p w14:paraId="1692DEFE">
      <w:pPr>
        <w:pStyle w:val="179"/>
        <w:topLinePunct/>
        <w:rPr>
          <w:rFonts w:ascii="Times New Roman" w:hAnsi="Times New Roman" w:cs="Times New Roman"/>
          <w:color w:val="000000" w:themeColor="text1"/>
        </w:rPr>
      </w:pPr>
      <w:r>
        <w:rPr>
          <w:rFonts w:ascii="Times New Roman" w:hAnsi="Times New Roman" w:cs="Times New Roman"/>
          <w:color w:val="000000" w:themeColor="text1"/>
        </w:rPr>
        <w:t xml:space="preserve">4、综合损毁程度评价 </w:t>
      </w:r>
    </w:p>
    <w:p w14:paraId="2573B51E">
      <w:pPr>
        <w:pStyle w:val="178"/>
        <w:topLinePunct/>
        <w:rPr>
          <w:rFonts w:ascii="Times New Roman" w:hAnsi="Times New Roman" w:cs="Times New Roman"/>
          <w:color w:val="000000" w:themeColor="text1"/>
        </w:rPr>
      </w:pPr>
      <w:r>
        <w:rPr>
          <w:rFonts w:ascii="Times New Roman" w:hAnsi="Times New Roman" w:cs="Times New Roman"/>
          <w:color w:val="000000" w:themeColor="text1"/>
        </w:rPr>
        <w:t>综上所述，对本项目涉及土地进行损毁程度综合评价，综合评价的结果为露天采场（</w:t>
      </w:r>
      <w:r>
        <w:rPr>
          <w:rFonts w:hint="eastAsia" w:ascii="Times New Roman" w:hAnsi="Times New Roman" w:cs="Times New Roman"/>
          <w:color w:val="000000" w:themeColor="text1"/>
        </w:rPr>
        <w:t>15.63</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）、排土场（0.</w:t>
      </w:r>
      <w:r>
        <w:rPr>
          <w:rFonts w:hint="eastAsia" w:ascii="Times New Roman" w:hAnsi="Times New Roman" w:cs="Times New Roman"/>
          <w:color w:val="000000" w:themeColor="text1"/>
        </w:rPr>
        <w:t>36</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）为重度损毁，面积为</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；评估区内其他区域为轻度损毁，面积为</w:t>
      </w:r>
      <w:r>
        <w:rPr>
          <w:rFonts w:hint="eastAsia" w:ascii="Times New Roman" w:hAnsi="Times New Roman" w:cs="Times New Roman"/>
          <w:color w:val="000000" w:themeColor="text1"/>
        </w:rPr>
        <w:t>3.78</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。矿区损毁程度综合评价结果见下表。</w:t>
      </w:r>
    </w:p>
    <w:p w14:paraId="2747DA56">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3-14 矿区损毁程度综合评价表</w:t>
      </w:r>
    </w:p>
    <w:tbl>
      <w:tblPr>
        <w:tblStyle w:val="43"/>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11" w:type="dxa"/>
          <w:left w:w="11" w:type="dxa"/>
          <w:bottom w:w="11" w:type="dxa"/>
          <w:right w:w="11" w:type="dxa"/>
        </w:tblCellMar>
      </w:tblPr>
      <w:tblGrid>
        <w:gridCol w:w="635"/>
        <w:gridCol w:w="2201"/>
        <w:gridCol w:w="3255"/>
        <w:gridCol w:w="855"/>
        <w:gridCol w:w="1140"/>
        <w:gridCol w:w="1006"/>
      </w:tblGrid>
      <w:tr w14:paraId="42411D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restart"/>
            <w:tcBorders>
              <w:tl2br w:val="nil"/>
              <w:tr2bl w:val="nil"/>
            </w:tcBorders>
            <w:vAlign w:val="center"/>
          </w:tcPr>
          <w:p w14:paraId="2FBB2DD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序号</w:t>
            </w:r>
          </w:p>
        </w:tc>
        <w:tc>
          <w:tcPr>
            <w:tcW w:w="2201" w:type="dxa"/>
            <w:vMerge w:val="restart"/>
            <w:tcBorders>
              <w:tl2br w:val="nil"/>
              <w:tr2bl w:val="nil"/>
            </w:tcBorders>
            <w:vAlign w:val="center"/>
          </w:tcPr>
          <w:p w14:paraId="51FF49C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问题类型</w:t>
            </w:r>
          </w:p>
        </w:tc>
        <w:tc>
          <w:tcPr>
            <w:tcW w:w="5250" w:type="dxa"/>
            <w:gridSpan w:val="3"/>
            <w:tcBorders>
              <w:tl2br w:val="nil"/>
              <w:tr2bl w:val="nil"/>
            </w:tcBorders>
            <w:vAlign w:val="center"/>
          </w:tcPr>
          <w:p w14:paraId="0BCE610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现状及预测受损状况</w:t>
            </w:r>
          </w:p>
        </w:tc>
        <w:tc>
          <w:tcPr>
            <w:tcW w:w="1006" w:type="dxa"/>
            <w:vMerge w:val="restart"/>
            <w:tcBorders>
              <w:tl2br w:val="nil"/>
              <w:tr2bl w:val="nil"/>
            </w:tcBorders>
            <w:vAlign w:val="center"/>
          </w:tcPr>
          <w:p w14:paraId="043878A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综合评价结果</w:t>
            </w:r>
          </w:p>
        </w:tc>
      </w:tr>
      <w:tr w14:paraId="1D7FF4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4798B15B">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201" w:type="dxa"/>
            <w:vMerge w:val="continue"/>
            <w:tcBorders>
              <w:tl2br w:val="nil"/>
              <w:tr2bl w:val="nil"/>
            </w:tcBorders>
            <w:vAlign w:val="center"/>
          </w:tcPr>
          <w:p w14:paraId="5443B40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3255" w:type="dxa"/>
            <w:tcBorders>
              <w:tl2br w:val="nil"/>
              <w:tr2bl w:val="nil"/>
            </w:tcBorders>
            <w:vAlign w:val="center"/>
          </w:tcPr>
          <w:p w14:paraId="484D88B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范围</w:t>
            </w:r>
          </w:p>
        </w:tc>
        <w:tc>
          <w:tcPr>
            <w:tcW w:w="855" w:type="dxa"/>
            <w:tcBorders>
              <w:tl2br w:val="nil"/>
              <w:tr2bl w:val="nil"/>
            </w:tcBorders>
            <w:vAlign w:val="center"/>
          </w:tcPr>
          <w:p w14:paraId="3A60B4B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面积（h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1140" w:type="dxa"/>
            <w:tcBorders>
              <w:tl2br w:val="nil"/>
              <w:tr2bl w:val="nil"/>
            </w:tcBorders>
            <w:vAlign w:val="center"/>
          </w:tcPr>
          <w:p w14:paraId="49EC62D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损毁程度</w:t>
            </w:r>
          </w:p>
        </w:tc>
        <w:tc>
          <w:tcPr>
            <w:tcW w:w="1006" w:type="dxa"/>
            <w:vMerge w:val="continue"/>
            <w:tcBorders>
              <w:tl2br w:val="nil"/>
              <w:tr2bl w:val="nil"/>
            </w:tcBorders>
            <w:shd w:val="clear" w:color="auto" w:fill="auto"/>
            <w:vAlign w:val="center"/>
          </w:tcPr>
          <w:p w14:paraId="34ED80FA">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0A190C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restart"/>
            <w:tcBorders>
              <w:tl2br w:val="nil"/>
              <w:tr2bl w:val="nil"/>
            </w:tcBorders>
            <w:vAlign w:val="center"/>
          </w:tcPr>
          <w:p w14:paraId="364892B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露天采场现状</w:t>
            </w:r>
          </w:p>
        </w:tc>
        <w:tc>
          <w:tcPr>
            <w:tcW w:w="2201" w:type="dxa"/>
            <w:tcBorders>
              <w:tl2br w:val="nil"/>
              <w:tr2bl w:val="nil"/>
            </w:tcBorders>
            <w:shd w:val="clear" w:color="auto" w:fill="auto"/>
            <w:vAlign w:val="center"/>
          </w:tcPr>
          <w:p w14:paraId="7CCE019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地质环境问题</w:t>
            </w:r>
          </w:p>
        </w:tc>
        <w:tc>
          <w:tcPr>
            <w:tcW w:w="3255" w:type="dxa"/>
            <w:vMerge w:val="restart"/>
            <w:tcBorders>
              <w:tl2br w:val="nil"/>
              <w:tr2bl w:val="nil"/>
            </w:tcBorders>
            <w:vAlign w:val="center"/>
          </w:tcPr>
          <w:p w14:paraId="1E41F84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1,5024931.915 ,44456204.780 </w:t>
            </w:r>
          </w:p>
          <w:p w14:paraId="717810E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2,5024938.699 ,44456217.455 </w:t>
            </w:r>
          </w:p>
          <w:p w14:paraId="0ABAB98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3,5024944.938 ,44456223.100 </w:t>
            </w:r>
          </w:p>
          <w:p w14:paraId="5EFD098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4,5024958.158 ,44456226.219 </w:t>
            </w:r>
          </w:p>
          <w:p w14:paraId="631B848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5,5024989.501 ,44456224.585 </w:t>
            </w:r>
          </w:p>
          <w:p w14:paraId="7A1F4F8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6,5025007.557 ,44456229.639 </w:t>
            </w:r>
          </w:p>
          <w:p w14:paraId="178B5DD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7,5025017.213 ,44456236.472 </w:t>
            </w:r>
          </w:p>
          <w:p w14:paraId="62C24E5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8,5025039.774 ,44456245.479 </w:t>
            </w:r>
          </w:p>
          <w:p w14:paraId="7A69D66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9,5025061.302 ,44456317.479 </w:t>
            </w:r>
          </w:p>
          <w:p w14:paraId="0C34132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10,5025058.995 ,44456324.188 </w:t>
            </w:r>
          </w:p>
          <w:p w14:paraId="4D908B1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11,5025055.168 ,44456336.334 </w:t>
            </w:r>
          </w:p>
          <w:p w14:paraId="3B53ECF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12,5025053.935 ,44456349.405 </w:t>
            </w:r>
          </w:p>
          <w:p w14:paraId="11BE297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13,5025053.935 ,44456349.405 </w:t>
            </w:r>
          </w:p>
          <w:p w14:paraId="074F832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14,5025059.033 ,44456363.426 </w:t>
            </w:r>
          </w:p>
          <w:p w14:paraId="676B00D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15,5025066.557 ,44456361.815 </w:t>
            </w:r>
          </w:p>
          <w:p w14:paraId="0454CC7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16,5025067.496 ,44456429.793 </w:t>
            </w:r>
          </w:p>
          <w:p w14:paraId="62CED5B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17,5025060.527 ,44456443.757 </w:t>
            </w:r>
          </w:p>
          <w:p w14:paraId="46E07EE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18,5025040.873 ,44456480.983 </w:t>
            </w:r>
          </w:p>
          <w:p w14:paraId="6D2C6AF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19,5025033.009 ,44456494.049 </w:t>
            </w:r>
          </w:p>
          <w:p w14:paraId="55E7516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20,5024830.790 ,44456545.040 </w:t>
            </w:r>
          </w:p>
          <w:p w14:paraId="719236F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21,5024824.773 ,44456540.326 </w:t>
            </w:r>
          </w:p>
          <w:p w14:paraId="1C9B17B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22,5024828.640 ,44456526.150 </w:t>
            </w:r>
          </w:p>
          <w:p w14:paraId="4D03F15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23,5024797.142 ,44456507.793 </w:t>
            </w:r>
          </w:p>
          <w:p w14:paraId="4A1808F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24,5024801.640 ,44456502.941 </w:t>
            </w:r>
          </w:p>
          <w:p w14:paraId="76AFAAA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25,5024789.305 ,44456496.276 </w:t>
            </w:r>
          </w:p>
          <w:p w14:paraId="6785906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26,5024789.713 ,44456493.518 </w:t>
            </w:r>
          </w:p>
          <w:p w14:paraId="08D54BF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27,5024768.571 ,44456463.898 </w:t>
            </w:r>
          </w:p>
          <w:p w14:paraId="07617E0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28,5024729.502 ,44456435.164 </w:t>
            </w:r>
          </w:p>
          <w:p w14:paraId="77F6ADF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29,5024720.180 ,44456422.772 </w:t>
            </w:r>
          </w:p>
          <w:p w14:paraId="615D2E7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30,5024709.538 ,44456394.451 </w:t>
            </w:r>
          </w:p>
          <w:p w14:paraId="52887CB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31,5024659.469 ,44456370.222 </w:t>
            </w:r>
          </w:p>
          <w:p w14:paraId="03C8431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32,5024654.557 ,44456362.896 </w:t>
            </w:r>
          </w:p>
          <w:p w14:paraId="77AD435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33,5024648.203 ,44456354.027 </w:t>
            </w:r>
          </w:p>
          <w:p w14:paraId="158C445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34,5024636.543 ,44456327.828 </w:t>
            </w:r>
          </w:p>
          <w:p w14:paraId="0E88161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35,5024629.240 ,44456311.593 </w:t>
            </w:r>
          </w:p>
          <w:p w14:paraId="0BA5E3A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36,5024584.150 ,44456284.667 </w:t>
            </w:r>
          </w:p>
          <w:p w14:paraId="7A89F7A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37,5024559.676 ,44456269.799 </w:t>
            </w:r>
          </w:p>
          <w:p w14:paraId="758A97B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38,5024552.943 ,44456250.519 </w:t>
            </w:r>
          </w:p>
          <w:p w14:paraId="4612823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39,5024554.200 ,44456195.540 </w:t>
            </w:r>
          </w:p>
          <w:p w14:paraId="33DEB93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40,5024571.017 ,44456142.986 </w:t>
            </w:r>
          </w:p>
          <w:p w14:paraId="02380D7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41,5024588.551 ,44456125.321 </w:t>
            </w:r>
          </w:p>
          <w:p w14:paraId="45EBD61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42,5024615.034 ,44456112.526 </w:t>
            </w:r>
          </w:p>
          <w:p w14:paraId="0F12846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43,5024634.412 ,44456106.052 </w:t>
            </w:r>
          </w:p>
          <w:p w14:paraId="1432F2C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44,5024682.094 ,44456102.766 </w:t>
            </w:r>
          </w:p>
          <w:p w14:paraId="0D21794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45,5024682.818 ,44456095.223 </w:t>
            </w:r>
          </w:p>
          <w:p w14:paraId="3FF0BF5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46,5024688.844 ,44456087.866 </w:t>
            </w:r>
          </w:p>
          <w:p w14:paraId="168393B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47,5024815.410 ,44456092.880 </w:t>
            </w:r>
          </w:p>
          <w:p w14:paraId="0692FC2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48,5024866.340 ,44456139.880 </w:t>
            </w:r>
          </w:p>
          <w:p w14:paraId="3F2C41F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49,5024913.940 ,44456203.010 </w:t>
            </w:r>
          </w:p>
        </w:tc>
        <w:tc>
          <w:tcPr>
            <w:tcW w:w="855" w:type="dxa"/>
            <w:vMerge w:val="restart"/>
            <w:tcBorders>
              <w:tl2br w:val="nil"/>
              <w:tr2bl w:val="nil"/>
            </w:tcBorders>
            <w:shd w:val="clear" w:color="auto" w:fill="auto"/>
            <w:vAlign w:val="center"/>
          </w:tcPr>
          <w:p w14:paraId="1691D2AF">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14.73</w:t>
            </w:r>
          </w:p>
        </w:tc>
        <w:tc>
          <w:tcPr>
            <w:tcW w:w="1140" w:type="dxa"/>
            <w:tcBorders>
              <w:tl2br w:val="nil"/>
              <w:tr2bl w:val="nil"/>
            </w:tcBorders>
            <w:vAlign w:val="center"/>
          </w:tcPr>
          <w:p w14:paraId="25CC3FC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轻度</w:t>
            </w:r>
          </w:p>
        </w:tc>
        <w:tc>
          <w:tcPr>
            <w:tcW w:w="1006" w:type="dxa"/>
            <w:tcBorders>
              <w:tl2br w:val="nil"/>
              <w:tr2bl w:val="nil"/>
            </w:tcBorders>
            <w:vAlign w:val="center"/>
          </w:tcPr>
          <w:p w14:paraId="7141E45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轻度</w:t>
            </w:r>
          </w:p>
        </w:tc>
      </w:tr>
      <w:tr w14:paraId="5D9F9C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2152A34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201" w:type="dxa"/>
            <w:tcBorders>
              <w:tl2br w:val="nil"/>
              <w:tr2bl w:val="nil"/>
            </w:tcBorders>
            <w:vAlign w:val="center"/>
          </w:tcPr>
          <w:p w14:paraId="1C06940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土地损毁</w:t>
            </w:r>
          </w:p>
        </w:tc>
        <w:tc>
          <w:tcPr>
            <w:tcW w:w="3255" w:type="dxa"/>
            <w:vMerge w:val="continue"/>
            <w:tcBorders>
              <w:tl2br w:val="nil"/>
              <w:tr2bl w:val="nil"/>
            </w:tcBorders>
            <w:vAlign w:val="center"/>
          </w:tcPr>
          <w:p w14:paraId="4C5AAFF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855" w:type="dxa"/>
            <w:vMerge w:val="continue"/>
            <w:tcBorders>
              <w:tl2br w:val="nil"/>
              <w:tr2bl w:val="nil"/>
            </w:tcBorders>
            <w:shd w:val="clear" w:color="auto" w:fill="auto"/>
            <w:vAlign w:val="center"/>
          </w:tcPr>
          <w:p w14:paraId="5FC31DF6">
            <w:pPr>
              <w:widowControl/>
              <w:snapToGrid w:val="0"/>
              <w:jc w:val="center"/>
              <w:rPr>
                <w:rFonts w:ascii="Times New Roman" w:hAnsi="Times New Roman" w:cs="Times New Roman"/>
                <w:color w:val="000000" w:themeColor="text1"/>
                <w:kern w:val="0"/>
                <w:sz w:val="24"/>
                <w:szCs w:val="24"/>
              </w:rPr>
            </w:pPr>
          </w:p>
        </w:tc>
        <w:tc>
          <w:tcPr>
            <w:tcW w:w="1140" w:type="dxa"/>
            <w:tcBorders>
              <w:tl2br w:val="nil"/>
              <w:tr2bl w:val="nil"/>
            </w:tcBorders>
            <w:vAlign w:val="center"/>
          </w:tcPr>
          <w:p w14:paraId="0982143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c>
          <w:tcPr>
            <w:tcW w:w="1006" w:type="dxa"/>
            <w:tcBorders>
              <w:tl2br w:val="nil"/>
              <w:tr2bl w:val="nil"/>
            </w:tcBorders>
            <w:vAlign w:val="center"/>
          </w:tcPr>
          <w:p w14:paraId="3A85E76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r>
      <w:tr w14:paraId="14388F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420A2E8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201" w:type="dxa"/>
            <w:tcBorders>
              <w:tl2br w:val="nil"/>
              <w:tr2bl w:val="nil"/>
            </w:tcBorders>
            <w:vAlign w:val="center"/>
          </w:tcPr>
          <w:p w14:paraId="188EFD9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生态受损与退化</w:t>
            </w:r>
          </w:p>
        </w:tc>
        <w:tc>
          <w:tcPr>
            <w:tcW w:w="3255" w:type="dxa"/>
            <w:vMerge w:val="continue"/>
            <w:tcBorders>
              <w:tl2br w:val="nil"/>
              <w:tr2bl w:val="nil"/>
            </w:tcBorders>
            <w:vAlign w:val="center"/>
          </w:tcPr>
          <w:p w14:paraId="10B76E3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855" w:type="dxa"/>
            <w:vMerge w:val="continue"/>
            <w:tcBorders>
              <w:tl2br w:val="nil"/>
              <w:tr2bl w:val="nil"/>
            </w:tcBorders>
            <w:shd w:val="clear" w:color="auto" w:fill="auto"/>
            <w:vAlign w:val="center"/>
          </w:tcPr>
          <w:p w14:paraId="543D7297">
            <w:pPr>
              <w:widowControl/>
              <w:snapToGrid w:val="0"/>
              <w:jc w:val="center"/>
              <w:rPr>
                <w:rFonts w:ascii="Times New Roman" w:hAnsi="Times New Roman" w:cs="Times New Roman"/>
                <w:color w:val="000000" w:themeColor="text1"/>
                <w:kern w:val="0"/>
                <w:sz w:val="24"/>
                <w:szCs w:val="24"/>
              </w:rPr>
            </w:pPr>
          </w:p>
        </w:tc>
        <w:tc>
          <w:tcPr>
            <w:tcW w:w="1140" w:type="dxa"/>
            <w:tcBorders>
              <w:tl2br w:val="nil"/>
              <w:tr2bl w:val="nil"/>
            </w:tcBorders>
            <w:vAlign w:val="center"/>
          </w:tcPr>
          <w:p w14:paraId="44D1C53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c>
          <w:tcPr>
            <w:tcW w:w="1006" w:type="dxa"/>
            <w:tcBorders>
              <w:tl2br w:val="nil"/>
              <w:tr2bl w:val="nil"/>
            </w:tcBorders>
            <w:vAlign w:val="center"/>
          </w:tcPr>
          <w:p w14:paraId="1A7E780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r>
      <w:tr w14:paraId="6DA2FF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restart"/>
            <w:tcBorders>
              <w:tl2br w:val="nil"/>
              <w:tr2bl w:val="nil"/>
            </w:tcBorders>
            <w:vAlign w:val="center"/>
          </w:tcPr>
          <w:p w14:paraId="31A7D4F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排土场现状</w:t>
            </w:r>
          </w:p>
        </w:tc>
        <w:tc>
          <w:tcPr>
            <w:tcW w:w="2201" w:type="dxa"/>
            <w:tcBorders>
              <w:tl2br w:val="nil"/>
              <w:tr2bl w:val="nil"/>
            </w:tcBorders>
            <w:vAlign w:val="center"/>
          </w:tcPr>
          <w:p w14:paraId="72AFA12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地质环境问题</w:t>
            </w:r>
          </w:p>
        </w:tc>
        <w:tc>
          <w:tcPr>
            <w:tcW w:w="3255" w:type="dxa"/>
            <w:vMerge w:val="restart"/>
            <w:tcBorders>
              <w:tl2br w:val="nil"/>
              <w:tr2bl w:val="nil"/>
            </w:tcBorders>
            <w:vAlign w:val="center"/>
          </w:tcPr>
          <w:p w14:paraId="775939A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1,5025040.213 ,44456246.949 </w:t>
            </w:r>
          </w:p>
          <w:p w14:paraId="511AD77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2,5025061.302 ,44456317.479 </w:t>
            </w:r>
          </w:p>
          <w:p w14:paraId="209AC66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3,5025055.017 ,44456335.758 </w:t>
            </w:r>
          </w:p>
          <w:p w14:paraId="5525456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4,5025037.841 ,44456342.242 </w:t>
            </w:r>
          </w:p>
          <w:p w14:paraId="52F543A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5,5025022.226 ,44456332.567 </w:t>
            </w:r>
          </w:p>
          <w:p w14:paraId="4D53BF9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6,5025013.091 ,44456300.032 </w:t>
            </w:r>
          </w:p>
          <w:p w14:paraId="6E671D9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7,5025007.473 ,44456256.752 </w:t>
            </w:r>
          </w:p>
          <w:p w14:paraId="6BA5BDA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8,5025017.173 ,44456248.058 </w:t>
            </w:r>
          </w:p>
          <w:p w14:paraId="57ADD07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9,5025024.869 ,44456241.161 </w:t>
            </w:r>
          </w:p>
        </w:tc>
        <w:tc>
          <w:tcPr>
            <w:tcW w:w="855" w:type="dxa"/>
            <w:vMerge w:val="restart"/>
            <w:tcBorders>
              <w:tl2br w:val="nil"/>
              <w:tr2bl w:val="nil"/>
            </w:tcBorders>
            <w:vAlign w:val="center"/>
          </w:tcPr>
          <w:p w14:paraId="3ECE298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w:t>
            </w:r>
            <w:r>
              <w:rPr>
                <w:rFonts w:hint="eastAsia" w:ascii="Times New Roman" w:hAnsi="Times New Roman" w:cs="Times New Roman"/>
                <w:color w:val="000000" w:themeColor="text1"/>
                <w:kern w:val="0"/>
                <w:sz w:val="24"/>
                <w:szCs w:val="24"/>
              </w:rPr>
              <w:t>36</w:t>
            </w:r>
          </w:p>
        </w:tc>
        <w:tc>
          <w:tcPr>
            <w:tcW w:w="1140" w:type="dxa"/>
            <w:tcBorders>
              <w:tl2br w:val="nil"/>
              <w:tr2bl w:val="nil"/>
            </w:tcBorders>
            <w:vAlign w:val="center"/>
          </w:tcPr>
          <w:p w14:paraId="0B49CF1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轻度</w:t>
            </w:r>
          </w:p>
        </w:tc>
        <w:tc>
          <w:tcPr>
            <w:tcW w:w="1006" w:type="dxa"/>
            <w:tcBorders>
              <w:tl2br w:val="nil"/>
              <w:tr2bl w:val="nil"/>
            </w:tcBorders>
            <w:vAlign w:val="center"/>
          </w:tcPr>
          <w:p w14:paraId="7FC7562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轻度</w:t>
            </w:r>
          </w:p>
        </w:tc>
      </w:tr>
      <w:tr w14:paraId="735AD8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6DB3E1D1">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201" w:type="dxa"/>
            <w:tcBorders>
              <w:tl2br w:val="nil"/>
              <w:tr2bl w:val="nil"/>
            </w:tcBorders>
            <w:vAlign w:val="center"/>
          </w:tcPr>
          <w:p w14:paraId="7028233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土地损毁</w:t>
            </w:r>
          </w:p>
        </w:tc>
        <w:tc>
          <w:tcPr>
            <w:tcW w:w="3255" w:type="dxa"/>
            <w:vMerge w:val="continue"/>
            <w:tcBorders>
              <w:tl2br w:val="nil"/>
              <w:tr2bl w:val="nil"/>
            </w:tcBorders>
            <w:vAlign w:val="center"/>
          </w:tcPr>
          <w:p w14:paraId="3F3462D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855" w:type="dxa"/>
            <w:vMerge w:val="continue"/>
            <w:tcBorders>
              <w:tl2br w:val="nil"/>
              <w:tr2bl w:val="nil"/>
            </w:tcBorders>
            <w:shd w:val="clear" w:color="auto" w:fill="auto"/>
            <w:vAlign w:val="center"/>
          </w:tcPr>
          <w:p w14:paraId="64AA0C3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40" w:type="dxa"/>
            <w:tcBorders>
              <w:tl2br w:val="nil"/>
              <w:tr2bl w:val="nil"/>
            </w:tcBorders>
            <w:vAlign w:val="center"/>
          </w:tcPr>
          <w:p w14:paraId="18EAAF8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c>
          <w:tcPr>
            <w:tcW w:w="1006" w:type="dxa"/>
            <w:tcBorders>
              <w:tl2br w:val="nil"/>
              <w:tr2bl w:val="nil"/>
            </w:tcBorders>
            <w:vAlign w:val="center"/>
          </w:tcPr>
          <w:p w14:paraId="6AE07FC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r>
      <w:tr w14:paraId="02E2F5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4A4BDE8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201" w:type="dxa"/>
            <w:tcBorders>
              <w:tl2br w:val="nil"/>
              <w:tr2bl w:val="nil"/>
            </w:tcBorders>
            <w:vAlign w:val="center"/>
          </w:tcPr>
          <w:p w14:paraId="267E7AC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生态受损与退化</w:t>
            </w:r>
          </w:p>
        </w:tc>
        <w:tc>
          <w:tcPr>
            <w:tcW w:w="3255" w:type="dxa"/>
            <w:vMerge w:val="continue"/>
            <w:tcBorders>
              <w:tl2br w:val="nil"/>
              <w:tr2bl w:val="nil"/>
            </w:tcBorders>
            <w:vAlign w:val="center"/>
          </w:tcPr>
          <w:p w14:paraId="7929083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855" w:type="dxa"/>
            <w:vMerge w:val="continue"/>
            <w:tcBorders>
              <w:tl2br w:val="nil"/>
              <w:tr2bl w:val="nil"/>
            </w:tcBorders>
            <w:shd w:val="clear" w:color="auto" w:fill="auto"/>
            <w:vAlign w:val="center"/>
          </w:tcPr>
          <w:p w14:paraId="619E91E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40" w:type="dxa"/>
            <w:tcBorders>
              <w:tl2br w:val="nil"/>
              <w:tr2bl w:val="nil"/>
            </w:tcBorders>
            <w:vAlign w:val="center"/>
          </w:tcPr>
          <w:p w14:paraId="7C0F453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c>
          <w:tcPr>
            <w:tcW w:w="1006" w:type="dxa"/>
            <w:tcBorders>
              <w:tl2br w:val="nil"/>
              <w:tr2bl w:val="nil"/>
            </w:tcBorders>
            <w:vAlign w:val="center"/>
          </w:tcPr>
          <w:p w14:paraId="2EAAAEC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r>
      <w:tr w14:paraId="722A37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restart"/>
            <w:tcBorders>
              <w:tl2br w:val="nil"/>
              <w:tr2bl w:val="nil"/>
            </w:tcBorders>
            <w:shd w:val="clear" w:color="auto" w:fill="auto"/>
            <w:vAlign w:val="center"/>
          </w:tcPr>
          <w:p w14:paraId="647F4A8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露天采场预测</w:t>
            </w:r>
          </w:p>
        </w:tc>
        <w:tc>
          <w:tcPr>
            <w:tcW w:w="2201" w:type="dxa"/>
            <w:tcBorders>
              <w:tl2br w:val="nil"/>
              <w:tr2bl w:val="nil"/>
            </w:tcBorders>
            <w:vAlign w:val="center"/>
          </w:tcPr>
          <w:p w14:paraId="371F9BC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地质环境问题</w:t>
            </w:r>
          </w:p>
        </w:tc>
        <w:tc>
          <w:tcPr>
            <w:tcW w:w="3255" w:type="dxa"/>
            <w:vMerge w:val="restart"/>
            <w:tcBorders>
              <w:tl2br w:val="nil"/>
              <w:tr2bl w:val="nil"/>
            </w:tcBorders>
            <w:vAlign w:val="center"/>
          </w:tcPr>
          <w:p w14:paraId="7DCFECD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1,5024931.915 ,44456204.780 </w:t>
            </w:r>
          </w:p>
          <w:p w14:paraId="07EE79B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2,5024938.699 ,44456217.455 </w:t>
            </w:r>
          </w:p>
          <w:p w14:paraId="53A91BC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3,5024944.938 ,44456223.100 </w:t>
            </w:r>
          </w:p>
          <w:p w14:paraId="70A6D9A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4,5024958.158 ,44456226.219 </w:t>
            </w:r>
          </w:p>
          <w:p w14:paraId="3C0477F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5,5024989.501 ,44456224.585 </w:t>
            </w:r>
          </w:p>
          <w:p w14:paraId="366C4AF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6,5025007.557 ,44456229.639 </w:t>
            </w:r>
          </w:p>
          <w:p w14:paraId="3F87F96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7,5025017.213 ,44456236.472 </w:t>
            </w:r>
          </w:p>
          <w:p w14:paraId="28EDC1E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8,5025039.774 ,44456245.479 </w:t>
            </w:r>
          </w:p>
          <w:p w14:paraId="7D345C0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9,5025061.302 ,44456317.479 </w:t>
            </w:r>
          </w:p>
          <w:p w14:paraId="2956876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10,5025058.995 ,44456324.188 </w:t>
            </w:r>
          </w:p>
          <w:p w14:paraId="60518FD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11,5025055.168 ,44456336.334 </w:t>
            </w:r>
          </w:p>
          <w:p w14:paraId="5E7B683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12,5025053.935 ,44456349.405 </w:t>
            </w:r>
          </w:p>
          <w:p w14:paraId="5871D1F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13,5025053.935 ,44456349.405 </w:t>
            </w:r>
          </w:p>
          <w:p w14:paraId="16429C2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14,5025059.033 ,44456363.426 </w:t>
            </w:r>
          </w:p>
          <w:p w14:paraId="03BC3A5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15,5025066.557 ,44456361.815 </w:t>
            </w:r>
          </w:p>
          <w:p w14:paraId="4204275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16,5025067.496 ,44456429.793 </w:t>
            </w:r>
          </w:p>
          <w:p w14:paraId="48821F7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17,5025060.527 ,44456443.757 </w:t>
            </w:r>
          </w:p>
          <w:p w14:paraId="5572A85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18,5025040.873 ,44456480.983 </w:t>
            </w:r>
          </w:p>
          <w:p w14:paraId="752FE61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19,5025033.009 ,44456494.049 </w:t>
            </w:r>
          </w:p>
          <w:p w14:paraId="0B79EB6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20,5024830.790 ,44456545.040 </w:t>
            </w:r>
          </w:p>
          <w:p w14:paraId="489BB7D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21,5024824.773 ,44456540.326 </w:t>
            </w:r>
          </w:p>
          <w:p w14:paraId="4E4C9B8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22,5024828.640 ,44456526.150 </w:t>
            </w:r>
          </w:p>
          <w:p w14:paraId="40A912F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23,5024797.142 ,44456507.793 </w:t>
            </w:r>
          </w:p>
          <w:p w14:paraId="220E711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24,5024801.640 ,44456502.941 </w:t>
            </w:r>
          </w:p>
          <w:p w14:paraId="6F07A5B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25,5024789.305 ,44456496.276 </w:t>
            </w:r>
          </w:p>
          <w:p w14:paraId="62C6C77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26,5024789.713 ,44456493.518 </w:t>
            </w:r>
          </w:p>
          <w:p w14:paraId="3E86310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27,5024768.571 ,44456463.898 </w:t>
            </w:r>
          </w:p>
          <w:p w14:paraId="5B3FF46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28,5024729.502 ,44456435.164 </w:t>
            </w:r>
          </w:p>
          <w:p w14:paraId="2F8EFAE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29,5024720.180 ,44456422.772 </w:t>
            </w:r>
          </w:p>
          <w:p w14:paraId="37C1F2E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30,5024709.538 ,44456394.451 </w:t>
            </w:r>
          </w:p>
          <w:p w14:paraId="5714775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31,5024659.469 ,44456370.222 </w:t>
            </w:r>
          </w:p>
          <w:p w14:paraId="3178194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32,5024654.557 ,44456362.896 </w:t>
            </w:r>
          </w:p>
          <w:p w14:paraId="1F4319F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33,5024648.203 ,44456354.027 </w:t>
            </w:r>
          </w:p>
          <w:p w14:paraId="7795A4B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34,5024636.543 ,44456327.828 </w:t>
            </w:r>
          </w:p>
          <w:p w14:paraId="7177720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35,5024629.240 ,44456311.593 </w:t>
            </w:r>
          </w:p>
          <w:p w14:paraId="24BCEC7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36,5024584.150 ,44456284.667 </w:t>
            </w:r>
          </w:p>
          <w:p w14:paraId="04DB7E5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37,5024559.676 ,44456269.799 </w:t>
            </w:r>
          </w:p>
          <w:p w14:paraId="725E296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38,5024552.943 ,44456250.519 </w:t>
            </w:r>
          </w:p>
          <w:p w14:paraId="7AEADAF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39,5024554.200 ,44456195.540 </w:t>
            </w:r>
          </w:p>
          <w:p w14:paraId="2E6BA4F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40,5024571.017 ,44456142.986 </w:t>
            </w:r>
          </w:p>
          <w:p w14:paraId="10F894D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41,5024588.551 ,44456125.321 </w:t>
            </w:r>
          </w:p>
          <w:p w14:paraId="366A40E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42,5024615.034 ,44456112.526 </w:t>
            </w:r>
          </w:p>
          <w:p w14:paraId="5CA6FC4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43,5024634.412 ,44456106.052 </w:t>
            </w:r>
          </w:p>
          <w:p w14:paraId="1DBD30A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44,5024682.094 ,44456102.766 </w:t>
            </w:r>
          </w:p>
          <w:p w14:paraId="48B29EE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45,5024682.818 ,44456095.223 </w:t>
            </w:r>
          </w:p>
          <w:p w14:paraId="21DF528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46,5024688.844 ,44456087.866 </w:t>
            </w:r>
          </w:p>
          <w:p w14:paraId="5C2715B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47,5024815.410 ,44456092.880 </w:t>
            </w:r>
          </w:p>
          <w:p w14:paraId="253F651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48,5024866.340 ,44456139.880 </w:t>
            </w:r>
          </w:p>
          <w:p w14:paraId="7EF4D9C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49,5024913.940 ,44456203.010</w:t>
            </w:r>
          </w:p>
          <w:p w14:paraId="04F3BD70">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50,5025035.39 ,44456230.82 </w:t>
            </w:r>
          </w:p>
          <w:p w14:paraId="7909A779">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51,5025066.17 ,44456333.76 </w:t>
            </w:r>
          </w:p>
          <w:p w14:paraId="1D92D636">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52,5025068.26 ,44456485.16 </w:t>
            </w:r>
          </w:p>
          <w:p w14:paraId="346E3936">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53,5024830.79 ,44456545.04 </w:t>
            </w:r>
          </w:p>
          <w:p w14:paraId="06E2BAA4">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54,5024800.55 ,44456520.92 </w:t>
            </w:r>
          </w:p>
          <w:p w14:paraId="72EE37BD">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55,5024710.58 ,44456447.46 </w:t>
            </w:r>
          </w:p>
          <w:p w14:paraId="549EFBBB">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56,5024648.67 ,44456354.01 </w:t>
            </w:r>
          </w:p>
          <w:p w14:paraId="0CDEFC89">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57,5024629.24 ,44456312.06 </w:t>
            </w:r>
          </w:p>
          <w:p w14:paraId="2E47E14A">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58,5024552.60 ,44456265.50 </w:t>
            </w:r>
          </w:p>
          <w:p w14:paraId="1DE51F38">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59,5024554.20 ,44456195.54 </w:t>
            </w:r>
          </w:p>
          <w:p w14:paraId="68C8739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60,5024576.29 ,44456126.51 </w:t>
            </w:r>
          </w:p>
          <w:p w14:paraId="75590D9D">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61,5024625.12 ,44456089.60 </w:t>
            </w:r>
          </w:p>
          <w:p w14:paraId="18C18AB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62,5024670.49 ,44456085.95 </w:t>
            </w:r>
          </w:p>
          <w:p w14:paraId="1076A06E">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63,5024815.41 ,44456092.88 </w:t>
            </w:r>
          </w:p>
          <w:p w14:paraId="63C1082C">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64,5024866.34 ,44456139.88 </w:t>
            </w:r>
          </w:p>
          <w:p w14:paraId="44BA6AA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65,5024913.94 ,44456203.01 </w:t>
            </w:r>
          </w:p>
          <w:p w14:paraId="12DEAF14">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66,5024988.50 ,44456210.35</w:t>
            </w:r>
          </w:p>
        </w:tc>
        <w:tc>
          <w:tcPr>
            <w:tcW w:w="855" w:type="dxa"/>
            <w:vMerge w:val="restart"/>
            <w:tcBorders>
              <w:tl2br w:val="nil"/>
              <w:tr2bl w:val="nil"/>
            </w:tcBorders>
            <w:vAlign w:val="center"/>
          </w:tcPr>
          <w:p w14:paraId="14E4450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2.39</w:t>
            </w:r>
          </w:p>
        </w:tc>
        <w:tc>
          <w:tcPr>
            <w:tcW w:w="1140" w:type="dxa"/>
            <w:tcBorders>
              <w:tl2br w:val="nil"/>
              <w:tr2bl w:val="nil"/>
            </w:tcBorders>
            <w:vAlign w:val="center"/>
          </w:tcPr>
          <w:p w14:paraId="24B3E92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轻度</w:t>
            </w:r>
          </w:p>
        </w:tc>
        <w:tc>
          <w:tcPr>
            <w:tcW w:w="1006" w:type="dxa"/>
            <w:tcBorders>
              <w:tl2br w:val="nil"/>
              <w:tr2bl w:val="nil"/>
            </w:tcBorders>
            <w:vAlign w:val="center"/>
          </w:tcPr>
          <w:p w14:paraId="0394006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轻度</w:t>
            </w:r>
          </w:p>
        </w:tc>
      </w:tr>
      <w:tr w14:paraId="36C3F4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2C95983D">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201" w:type="dxa"/>
            <w:tcBorders>
              <w:tl2br w:val="nil"/>
              <w:tr2bl w:val="nil"/>
            </w:tcBorders>
            <w:vAlign w:val="center"/>
          </w:tcPr>
          <w:p w14:paraId="4BE6D20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土地损毁</w:t>
            </w:r>
          </w:p>
        </w:tc>
        <w:tc>
          <w:tcPr>
            <w:tcW w:w="3255" w:type="dxa"/>
            <w:vMerge w:val="continue"/>
            <w:tcBorders>
              <w:tl2br w:val="nil"/>
              <w:tr2bl w:val="nil"/>
            </w:tcBorders>
            <w:shd w:val="clear" w:color="auto" w:fill="auto"/>
            <w:vAlign w:val="center"/>
          </w:tcPr>
          <w:p w14:paraId="1E83EFCB">
            <w:pPr>
              <w:widowControl/>
              <w:topLinePunct/>
              <w:snapToGrid w:val="0"/>
              <w:spacing w:line="240" w:lineRule="auto"/>
              <w:jc w:val="center"/>
              <w:rPr>
                <w:rFonts w:ascii="Times New Roman" w:hAnsi="Times New Roman" w:cs="Times New Roman"/>
                <w:color w:val="000000" w:themeColor="text1"/>
                <w:kern w:val="0"/>
                <w:sz w:val="24"/>
                <w:szCs w:val="24"/>
                <w:highlight w:val="yellow"/>
              </w:rPr>
            </w:pPr>
          </w:p>
        </w:tc>
        <w:tc>
          <w:tcPr>
            <w:tcW w:w="855" w:type="dxa"/>
            <w:vMerge w:val="continue"/>
            <w:tcBorders>
              <w:tl2br w:val="nil"/>
              <w:tr2bl w:val="nil"/>
            </w:tcBorders>
            <w:shd w:val="clear" w:color="auto" w:fill="auto"/>
            <w:vAlign w:val="center"/>
          </w:tcPr>
          <w:p w14:paraId="5AA0EAC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40" w:type="dxa"/>
            <w:tcBorders>
              <w:tl2br w:val="nil"/>
              <w:tr2bl w:val="nil"/>
            </w:tcBorders>
            <w:shd w:val="clear" w:color="auto" w:fill="auto"/>
            <w:vAlign w:val="center"/>
          </w:tcPr>
          <w:p w14:paraId="5301153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c>
          <w:tcPr>
            <w:tcW w:w="1006" w:type="dxa"/>
            <w:tcBorders>
              <w:tl2br w:val="nil"/>
              <w:tr2bl w:val="nil"/>
            </w:tcBorders>
            <w:vAlign w:val="center"/>
          </w:tcPr>
          <w:p w14:paraId="024445D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r>
      <w:tr w14:paraId="1431A4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6BA9DC5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201" w:type="dxa"/>
            <w:tcBorders>
              <w:tl2br w:val="nil"/>
              <w:tr2bl w:val="nil"/>
            </w:tcBorders>
            <w:vAlign w:val="center"/>
          </w:tcPr>
          <w:p w14:paraId="596DE51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生态受损与退化</w:t>
            </w:r>
          </w:p>
        </w:tc>
        <w:tc>
          <w:tcPr>
            <w:tcW w:w="3255" w:type="dxa"/>
            <w:vMerge w:val="continue"/>
            <w:tcBorders>
              <w:tl2br w:val="nil"/>
              <w:tr2bl w:val="nil"/>
            </w:tcBorders>
            <w:shd w:val="clear" w:color="auto" w:fill="auto"/>
            <w:vAlign w:val="center"/>
          </w:tcPr>
          <w:p w14:paraId="1450C704">
            <w:pPr>
              <w:widowControl/>
              <w:topLinePunct/>
              <w:snapToGrid w:val="0"/>
              <w:spacing w:line="240" w:lineRule="auto"/>
              <w:jc w:val="center"/>
              <w:rPr>
                <w:rFonts w:ascii="Times New Roman" w:hAnsi="Times New Roman" w:cs="Times New Roman"/>
                <w:color w:val="000000" w:themeColor="text1"/>
                <w:kern w:val="0"/>
                <w:sz w:val="24"/>
                <w:szCs w:val="24"/>
                <w:highlight w:val="yellow"/>
              </w:rPr>
            </w:pPr>
          </w:p>
        </w:tc>
        <w:tc>
          <w:tcPr>
            <w:tcW w:w="855" w:type="dxa"/>
            <w:vMerge w:val="continue"/>
            <w:tcBorders>
              <w:tl2br w:val="nil"/>
              <w:tr2bl w:val="nil"/>
            </w:tcBorders>
            <w:shd w:val="clear" w:color="auto" w:fill="auto"/>
            <w:vAlign w:val="center"/>
          </w:tcPr>
          <w:p w14:paraId="222BA04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40" w:type="dxa"/>
            <w:tcBorders>
              <w:tl2br w:val="nil"/>
              <w:tr2bl w:val="nil"/>
            </w:tcBorders>
            <w:shd w:val="clear" w:color="auto" w:fill="auto"/>
            <w:vAlign w:val="center"/>
          </w:tcPr>
          <w:p w14:paraId="236B069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c>
          <w:tcPr>
            <w:tcW w:w="1006" w:type="dxa"/>
            <w:tcBorders>
              <w:tl2br w:val="nil"/>
              <w:tr2bl w:val="nil"/>
            </w:tcBorders>
            <w:vAlign w:val="center"/>
          </w:tcPr>
          <w:p w14:paraId="72C199D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重度</w:t>
            </w:r>
          </w:p>
        </w:tc>
      </w:tr>
    </w:tbl>
    <w:p w14:paraId="10D0B41D">
      <w:pPr>
        <w:pStyle w:val="178"/>
        <w:topLinePunct/>
        <w:ind w:firstLine="0" w:firstLineChars="0"/>
        <w:rPr>
          <w:rFonts w:ascii="Times New Roman" w:hAnsi="Times New Roman" w:cs="Times New Roman"/>
          <w:color w:val="000000" w:themeColor="text1"/>
          <w:highlight w:val="yellow"/>
        </w:rPr>
      </w:pPr>
    </w:p>
    <w:p w14:paraId="602D6A78">
      <w:pPr>
        <w:pStyle w:val="182"/>
        <w:widowControl w:val="0"/>
        <w:topLinePunct/>
        <w:ind w:firstLine="0" w:firstLineChars="0"/>
        <w:rPr>
          <w:rFonts w:hint="eastAsia" w:ascii="Times New Roman" w:hAnsi="Times New Roman" w:eastAsia="宋体"/>
          <w:color w:val="000000" w:themeColor="text1"/>
          <w:lang w:eastAsia="zh-CN"/>
        </w:rPr>
      </w:pPr>
      <w:r>
        <w:rPr>
          <w:rFonts w:hint="eastAsia" w:ascii="Times New Roman" w:hAnsi="Times New Roman" w:eastAsia="宋体"/>
          <w:color w:val="000000" w:themeColor="text1"/>
          <w:lang w:eastAsia="zh-CN"/>
        </w:rPr>
        <w:drawing>
          <wp:inline distT="0" distB="0" distL="114300" distR="114300">
            <wp:extent cx="5750560" cy="5748020"/>
            <wp:effectExtent l="0" t="0" r="2540" b="5080"/>
            <wp:docPr id="4" name="图片 4" descr="永平_生态修复附图 Mod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永平_生态修复附图 Model (1)"/>
                    <pic:cNvPicPr>
                      <a:picLocks noChangeAspect="1"/>
                    </pic:cNvPicPr>
                  </pic:nvPicPr>
                  <pic:blipFill>
                    <a:blip r:embed="rId19"/>
                    <a:stretch>
                      <a:fillRect/>
                    </a:stretch>
                  </pic:blipFill>
                  <pic:spPr>
                    <a:xfrm>
                      <a:off x="0" y="0"/>
                      <a:ext cx="5750560" cy="5748020"/>
                    </a:xfrm>
                    <a:prstGeom prst="rect">
                      <a:avLst/>
                    </a:prstGeom>
                  </pic:spPr>
                </pic:pic>
              </a:graphicData>
            </a:graphic>
          </wp:inline>
        </w:drawing>
      </w:r>
    </w:p>
    <w:p w14:paraId="69DF43CF">
      <w:pPr>
        <w:pStyle w:val="182"/>
        <w:widowControl w:val="0"/>
        <w:topLinePunct/>
        <w:ind w:firstLine="0" w:firstLineChars="0"/>
        <w:rPr>
          <w:rFonts w:ascii="Times New Roman" w:hAnsi="Times New Roman"/>
          <w:color w:val="E36C09" w:themeColor="accent6" w:themeShade="BF"/>
        </w:rPr>
      </w:pPr>
      <w:r>
        <w:rPr>
          <w:rFonts w:ascii="Times New Roman" w:hAnsi="Times New Roman"/>
          <w:color w:val="E36C09" w:themeColor="accent6" w:themeShade="BF"/>
        </w:rPr>
        <w:t>图 3-3</w:t>
      </w:r>
      <w:r>
        <w:rPr>
          <w:rFonts w:ascii="Times New Roman" w:hAnsi="Times New Roman"/>
          <w:color w:val="E36C09" w:themeColor="accent6" w:themeShade="BF"/>
        </w:rPr>
        <w:tab/>
      </w:r>
      <w:r>
        <w:rPr>
          <w:rFonts w:ascii="Times New Roman" w:hAnsi="Times New Roman"/>
          <w:color w:val="E36C09" w:themeColor="accent6" w:themeShade="BF"/>
        </w:rPr>
        <w:t>损毁程度综合评价图</w:t>
      </w:r>
    </w:p>
    <w:p w14:paraId="63F29826">
      <w:pPr>
        <w:pStyle w:val="174"/>
        <w:topLinePunct/>
        <w:rPr>
          <w:rFonts w:ascii="Times New Roman" w:hAnsi="Times New Roman" w:cs="Times New Roman"/>
          <w:color w:val="000000" w:themeColor="text1"/>
        </w:rPr>
      </w:pPr>
      <w:bookmarkStart w:id="26" w:name="_Toc29963"/>
      <w:r>
        <w:rPr>
          <w:rFonts w:ascii="Times New Roman" w:hAnsi="Times New Roman" w:cs="Times New Roman"/>
          <w:color w:val="000000" w:themeColor="text1"/>
        </w:rPr>
        <w:t>二、生态修复可行性分析</w:t>
      </w:r>
      <w:bookmarkEnd w:id="26"/>
    </w:p>
    <w:p w14:paraId="6C4A0AAF">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（一）技术经济可行性分析</w:t>
      </w:r>
    </w:p>
    <w:p w14:paraId="46C5652E">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1、地质环境修复治理措施</w:t>
      </w:r>
    </w:p>
    <w:p w14:paraId="5F4F51F8">
      <w:pPr>
        <w:pStyle w:val="178"/>
        <w:topLinePunct/>
        <w:rPr>
          <w:rFonts w:ascii="Times New Roman" w:hAnsi="Times New Roman" w:cs="Times New Roman"/>
          <w:color w:val="000000" w:themeColor="text1"/>
        </w:rPr>
      </w:pPr>
      <w:r>
        <w:rPr>
          <w:rFonts w:ascii="Times New Roman" w:hAnsi="Times New Roman" w:cs="Times New Roman"/>
          <w:color w:val="000000" w:themeColor="text1"/>
        </w:rPr>
        <w:t>露天开采边坡可能产生崩塌等地质灾害，通过对露天采场较陡边坡实施修整、危岩体清运、边坡防护（栽植常春藤）等措施可减少崩塌发生的可能性，所用机械矿山开采已具备，施工人员熟悉操作，所用材料购置方便，工程施工技术较简单；为减少安全事故发生，露天采场周围设警示牌，设置施工技术条件简单，材料购置方便；为防止降水汇水淹没采坑底部，在露天采场坑底边缘修建汇水渠，涉及机械矿山开采已具备，施工人员熟悉操作；露天采场坑底地面坡度较小，便于机械施工，因此地面清理平整简单可行。</w:t>
      </w:r>
    </w:p>
    <w:p w14:paraId="2D950ADD">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2、土地复垦措施</w:t>
      </w:r>
    </w:p>
    <w:p w14:paraId="492197E1">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根据项目区及周边土地利用现状图，初步确定复垦区待复垦土地的复垦方向为乔木林地。主要采取的工程措施为表土</w:t>
      </w:r>
      <w:r>
        <w:rPr>
          <w:rFonts w:hint="eastAsia" w:ascii="Times New Roman" w:hAnsi="Times New Roman" w:cs="Times New Roman"/>
          <w:color w:val="000000" w:themeColor="text1"/>
          <w:lang w:val="en-US" w:eastAsia="zh-CN"/>
        </w:rPr>
        <w:t>回覆</w:t>
      </w:r>
      <w:r>
        <w:rPr>
          <w:rFonts w:ascii="Times New Roman" w:hAnsi="Times New Roman" w:cs="Times New Roman"/>
          <w:color w:val="000000" w:themeColor="text1"/>
        </w:rPr>
        <w:t>，栽植乔木等。表土</w:t>
      </w:r>
      <w:r>
        <w:rPr>
          <w:rFonts w:hint="eastAsia" w:ascii="Times New Roman" w:hAnsi="Times New Roman" w:cs="Times New Roman"/>
          <w:color w:val="000000" w:themeColor="text1"/>
          <w:lang w:val="en-US" w:eastAsia="zh-CN"/>
        </w:rPr>
        <w:t>回覆</w:t>
      </w:r>
      <w:r>
        <w:rPr>
          <w:rFonts w:ascii="Times New Roman" w:hAnsi="Times New Roman" w:cs="Times New Roman"/>
          <w:color w:val="000000" w:themeColor="text1"/>
        </w:rPr>
        <w:t>有利于快速恢复土壤结构和肥力，为植被提供生长基质，短期效果显著，土壤来源于剥离的表土，原材料比较易于获得，经地面清理平整的场地便于覆土工程的实施。栽植乔木长期效益突出，树种选用该区域乡土植物，购置方便，树木采用裸根坑植方式，施工方式操作简单。</w:t>
      </w:r>
    </w:p>
    <w:p w14:paraId="47CDC449">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3、可行性分析</w:t>
      </w:r>
    </w:p>
    <w:p w14:paraId="276AF783">
      <w:pPr>
        <w:pStyle w:val="178"/>
        <w:topLinePunct/>
        <w:rPr>
          <w:rFonts w:ascii="Times New Roman" w:hAnsi="Times New Roman" w:cs="Times New Roman"/>
          <w:color w:val="000000" w:themeColor="text1"/>
        </w:rPr>
      </w:pPr>
      <w:r>
        <w:rPr>
          <w:rFonts w:ascii="Times New Roman" w:hAnsi="Times New Roman" w:cs="Times New Roman"/>
          <w:color w:val="000000" w:themeColor="text1"/>
        </w:rPr>
        <w:t>方案设计的生态修复措施工程由于施工技术条件简单，产生的费用以基本的材料费、机械费及人工费等为主，整体投资少，矿山企业具有一定的经济实力且治理成果易于达到设计要求，从经济技术角度分析，该矿山恢复治理项目具有可行性，具体表现：</w:t>
      </w:r>
    </w:p>
    <w:p w14:paraId="243E26A5">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（1）资金保障</w:t>
      </w:r>
    </w:p>
    <w:p w14:paraId="6B537F13">
      <w:pPr>
        <w:pStyle w:val="178"/>
        <w:topLinePunct/>
        <w:rPr>
          <w:rFonts w:ascii="Times New Roman" w:hAnsi="Times New Roman" w:cs="Times New Roman"/>
          <w:color w:val="000000" w:themeColor="text1"/>
        </w:rPr>
      </w:pPr>
      <w:r>
        <w:rPr>
          <w:rFonts w:ascii="Times New Roman" w:hAnsi="Times New Roman" w:cs="Times New Roman"/>
          <w:color w:val="000000" w:themeColor="text1"/>
        </w:rPr>
        <w:t>治理费用由造成矿山地质环境问题的矿山企业承担。矿山企业要列支专项经费进行矿山环境的保护与治理。经费要结合方案实施进度统筹安排，做到专款专用，保证经费足额及时到位，确保实现矿山环境综合治理的防治目标。采矿权人及时缴存矿山地质环境恢复治理基金，由政府监管，专款专用，遇到资金不足时，采矿权人及时缴纳不足部分。</w:t>
      </w:r>
    </w:p>
    <w:p w14:paraId="27BE23B3">
      <w:pPr>
        <w:pStyle w:val="178"/>
        <w:topLinePunct/>
        <w:rPr>
          <w:rFonts w:ascii="Times New Roman" w:hAnsi="Times New Roman" w:cs="Times New Roman"/>
          <w:color w:val="000000" w:themeColor="text1"/>
        </w:rPr>
      </w:pPr>
      <w:r>
        <w:rPr>
          <w:rFonts w:ascii="Times New Roman" w:hAnsi="Times New Roman" w:cs="Times New Roman"/>
          <w:color w:val="000000" w:themeColor="text1"/>
        </w:rPr>
        <w:t>（2）材料供应</w:t>
      </w:r>
    </w:p>
    <w:p w14:paraId="60440EE5">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本项目所需器械、生产材料类别简单，在当地供应数量充足，矿山交通运输条件较方便，原材料及物资容易获取。</w:t>
      </w:r>
    </w:p>
    <w:p w14:paraId="3D567DA3">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（3）劳动力及经验</w:t>
      </w:r>
    </w:p>
    <w:p w14:paraId="42E9D133">
      <w:pPr>
        <w:pStyle w:val="178"/>
        <w:topLinePunct/>
        <w:rPr>
          <w:rFonts w:ascii="Times New Roman" w:hAnsi="Times New Roman" w:cs="Times New Roman"/>
          <w:color w:val="000000" w:themeColor="text1"/>
        </w:rPr>
      </w:pPr>
      <w:r>
        <w:rPr>
          <w:rFonts w:ascii="Times New Roman" w:hAnsi="Times New Roman" w:cs="Times New Roman"/>
          <w:color w:val="000000" w:themeColor="text1"/>
        </w:rPr>
        <w:t>当地剩余劳动力充足，本项目劳动技术类别属简单类型，参加施工人员经过简单安全、技能培训后即可参加工作。上述工程措施，在省内已有多地实施，所涉及机械常见，操作简单易行。</w:t>
      </w:r>
    </w:p>
    <w:p w14:paraId="1B2C79B8">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矿山地质环境及生态问题可通过这些措施较容易达到恢复或改善的目的，效果较好，生态修复措施工程切实可行。</w:t>
      </w:r>
    </w:p>
    <w:p w14:paraId="12C86CA8">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（二）目标方向可行性分析</w:t>
      </w:r>
    </w:p>
    <w:p w14:paraId="4BFD74DE">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1、参照生态系统</w:t>
      </w:r>
    </w:p>
    <w:p w14:paraId="13032E11">
      <w:pPr>
        <w:pStyle w:val="178"/>
        <w:topLinePunct/>
        <w:rPr>
          <w:rFonts w:ascii="Times New Roman" w:hAnsi="Times New Roman" w:cs="Times New Roman"/>
          <w:color w:val="000000" w:themeColor="text1"/>
        </w:rPr>
      </w:pPr>
      <w:r>
        <w:rPr>
          <w:rFonts w:ascii="Times New Roman" w:hAnsi="Times New Roman" w:cs="Times New Roman"/>
          <w:color w:val="000000" w:themeColor="text1"/>
        </w:rPr>
        <w:t>依据国土空间规划及相关规划，参照矿区周边未受损得本地原生生态系统，本项目选择森林生态系统作为参照。</w:t>
      </w:r>
    </w:p>
    <w:p w14:paraId="47E3ADF2">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2、生态修复目标方向适宜性评价</w:t>
      </w:r>
    </w:p>
    <w:p w14:paraId="063E423A">
      <w:pPr>
        <w:pStyle w:val="178"/>
        <w:topLinePunct/>
        <w:rPr>
          <w:rFonts w:ascii="Times New Roman" w:hAnsi="Times New Roman" w:cs="Times New Roman"/>
          <w:color w:val="000000" w:themeColor="text1"/>
        </w:rPr>
      </w:pPr>
      <w:r>
        <w:rPr>
          <w:rFonts w:ascii="Times New Roman" w:hAnsi="Times New Roman" w:cs="Times New Roman"/>
          <w:color w:val="000000" w:themeColor="text1"/>
        </w:rPr>
        <w:t>按照土地复垦适宜性评价流程，遵循土地复垦适宜性评价原则，依据相关法律法规、规划等，在对复垦区进行详细调查的基础上对该矿进行土地复垦适宜性评价。</w:t>
      </w:r>
    </w:p>
    <w:p w14:paraId="7A216E91">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（1）评价单元划分</w:t>
      </w:r>
    </w:p>
    <w:p w14:paraId="6E62E9C3">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复垦区土壤类型、土地利用现状、行政界线等划分评价单元。评价单元划分后满足内部性质相对均一或相近；单元之间有差异性；单元之间有一定的可比性。根据前文复垦土地损毁分析，矿区范围内各地类的损毁土地方式为挖损和压占，按照复垦土地在复垦区内损毁的类型分为</w:t>
      </w:r>
      <w:r>
        <w:rPr>
          <w:rFonts w:hint="eastAsia" w:ascii="Times New Roman" w:hAnsi="Times New Roman" w:cs="Times New Roman"/>
          <w:color w:val="000000" w:themeColor="text1"/>
        </w:rPr>
        <w:t>3</w:t>
      </w:r>
      <w:r>
        <w:rPr>
          <w:rFonts w:ascii="Times New Roman" w:hAnsi="Times New Roman" w:cs="Times New Roman"/>
          <w:color w:val="000000" w:themeColor="text1"/>
        </w:rPr>
        <w:t>个评价单元</w:t>
      </w:r>
      <w:r>
        <w:rPr>
          <w:rFonts w:hint="eastAsia" w:ascii="Times New Roman" w:hAnsi="Times New Roman" w:cs="Times New Roman"/>
          <w:color w:val="000000" w:themeColor="text1"/>
        </w:rPr>
        <w:t>：</w:t>
      </w:r>
      <w:r>
        <w:rPr>
          <w:rFonts w:ascii="Times New Roman" w:hAnsi="Times New Roman" w:cs="Times New Roman"/>
          <w:color w:val="E36C09" w:themeColor="accent6" w:themeShade="BF"/>
        </w:rPr>
        <w:t>评价</w:t>
      </w:r>
      <w:r>
        <w:rPr>
          <w:rFonts w:hint="eastAsia" w:ascii="Times New Roman" w:hAnsi="Times New Roman" w:cs="Times New Roman"/>
          <w:color w:val="E36C09" w:themeColor="accent6" w:themeShade="BF"/>
        </w:rPr>
        <w:t>单元1露天采场底部合围区（10.22h</w:t>
      </w:r>
      <w:r>
        <w:rPr>
          <w:rFonts w:hint="eastAsia" w:ascii="Times New Roman" w:hAnsi="Times New Roman" w:cs="Times New Roman"/>
          <w:color w:val="E36C09" w:themeColor="accent6" w:themeShade="BF"/>
          <w:lang w:eastAsia="zh-CN"/>
        </w:rPr>
        <w:t>m</w:t>
      </w:r>
      <w:r>
        <w:rPr>
          <w:rFonts w:hint="eastAsia" w:ascii="Times New Roman" w:hAnsi="Times New Roman" w:cs="Times New Roman"/>
          <w:strike w:val="0"/>
          <w:dstrike w:val="0"/>
          <w:color w:val="E36C09" w:themeColor="accent6" w:themeShade="BF"/>
          <w:vertAlign w:val="superscript"/>
          <w:lang w:eastAsia="zh-CN"/>
        </w:rPr>
        <w:t>2</w:t>
      </w:r>
      <w:r>
        <w:rPr>
          <w:rFonts w:hint="eastAsia" w:ascii="Times New Roman" w:hAnsi="Times New Roman" w:cs="Times New Roman"/>
          <w:color w:val="E36C09" w:themeColor="accent6" w:themeShade="BF"/>
        </w:rPr>
        <w:t>）和开采平台（1.96h</w:t>
      </w:r>
      <w:r>
        <w:rPr>
          <w:rFonts w:hint="eastAsia" w:ascii="Times New Roman" w:hAnsi="Times New Roman" w:cs="Times New Roman"/>
          <w:color w:val="E36C09" w:themeColor="accent6" w:themeShade="BF"/>
          <w:lang w:eastAsia="zh-CN"/>
        </w:rPr>
        <w:t>m</w:t>
      </w:r>
      <w:r>
        <w:rPr>
          <w:rFonts w:hint="eastAsia" w:ascii="Times New Roman" w:hAnsi="Times New Roman" w:cs="Times New Roman"/>
          <w:strike w:val="0"/>
          <w:dstrike w:val="0"/>
          <w:color w:val="E36C09" w:themeColor="accent6" w:themeShade="BF"/>
          <w:vertAlign w:val="superscript"/>
          <w:lang w:eastAsia="zh-CN"/>
        </w:rPr>
        <w:t>2</w:t>
      </w:r>
      <w:r>
        <w:rPr>
          <w:rFonts w:hint="eastAsia" w:ascii="Times New Roman" w:hAnsi="Times New Roman" w:cs="Times New Roman"/>
          <w:color w:val="E36C09" w:themeColor="accent6" w:themeShade="BF"/>
        </w:rPr>
        <w:t>），</w:t>
      </w:r>
      <w:r>
        <w:rPr>
          <w:rFonts w:ascii="Times New Roman" w:hAnsi="Times New Roman" w:cs="Times New Roman"/>
          <w:color w:val="E36C09" w:themeColor="accent6" w:themeShade="BF"/>
        </w:rPr>
        <w:t>评价</w:t>
      </w:r>
      <w:r>
        <w:rPr>
          <w:rFonts w:hint="eastAsia" w:ascii="Times New Roman" w:hAnsi="Times New Roman" w:cs="Times New Roman"/>
          <w:color w:val="E36C09" w:themeColor="accent6" w:themeShade="BF"/>
        </w:rPr>
        <w:t>单元2露天采场开采边坡（3.45h</w:t>
      </w:r>
      <w:r>
        <w:rPr>
          <w:rFonts w:hint="eastAsia" w:ascii="Times New Roman" w:hAnsi="Times New Roman" w:cs="Times New Roman"/>
          <w:color w:val="E36C09" w:themeColor="accent6" w:themeShade="BF"/>
          <w:lang w:eastAsia="zh-CN"/>
        </w:rPr>
        <w:t>m</w:t>
      </w:r>
      <w:r>
        <w:rPr>
          <w:rFonts w:hint="eastAsia" w:ascii="Times New Roman" w:hAnsi="Times New Roman" w:cs="Times New Roman"/>
          <w:strike w:val="0"/>
          <w:dstrike w:val="0"/>
          <w:color w:val="E36C09" w:themeColor="accent6" w:themeShade="BF"/>
          <w:vertAlign w:val="superscript"/>
          <w:lang w:eastAsia="zh-CN"/>
        </w:rPr>
        <w:t>2</w:t>
      </w:r>
      <w:r>
        <w:rPr>
          <w:rFonts w:hint="eastAsia" w:ascii="Times New Roman" w:hAnsi="Times New Roman" w:cs="Times New Roman"/>
          <w:color w:val="E36C09" w:themeColor="accent6" w:themeShade="BF"/>
        </w:rPr>
        <w:t>），</w:t>
      </w:r>
      <w:r>
        <w:rPr>
          <w:rFonts w:ascii="Times New Roman" w:hAnsi="Times New Roman" w:cs="Times New Roman"/>
          <w:color w:val="E36C09" w:themeColor="accent6" w:themeShade="BF"/>
        </w:rPr>
        <w:t>评价</w:t>
      </w:r>
      <w:r>
        <w:rPr>
          <w:rFonts w:hint="eastAsia" w:ascii="Times New Roman" w:hAnsi="Times New Roman" w:cs="Times New Roman"/>
          <w:color w:val="E36C09" w:themeColor="accent6" w:themeShade="BF"/>
        </w:rPr>
        <w:t>单元3排土场（0.36h</w:t>
      </w:r>
      <w:r>
        <w:rPr>
          <w:rFonts w:hint="eastAsia" w:ascii="Times New Roman" w:hAnsi="Times New Roman" w:cs="Times New Roman"/>
          <w:color w:val="E36C09" w:themeColor="accent6" w:themeShade="BF"/>
          <w:lang w:eastAsia="zh-CN"/>
        </w:rPr>
        <w:t>m</w:t>
      </w:r>
      <w:r>
        <w:rPr>
          <w:rFonts w:hint="eastAsia" w:ascii="Times New Roman" w:hAnsi="Times New Roman" w:cs="Times New Roman"/>
          <w:strike w:val="0"/>
          <w:dstrike w:val="0"/>
          <w:color w:val="E36C09" w:themeColor="accent6" w:themeShade="BF"/>
          <w:vertAlign w:val="superscript"/>
          <w:lang w:eastAsia="zh-CN"/>
        </w:rPr>
        <w:t>2</w:t>
      </w:r>
      <w:r>
        <w:rPr>
          <w:rFonts w:hint="eastAsia" w:ascii="Times New Roman" w:hAnsi="Times New Roman" w:cs="Times New Roman"/>
          <w:color w:val="E36C09" w:themeColor="accent6" w:themeShade="BF"/>
        </w:rPr>
        <w:t>）</w:t>
      </w:r>
      <w:r>
        <w:rPr>
          <w:rFonts w:ascii="Times New Roman" w:hAnsi="Times New Roman" w:cs="Times New Roman"/>
          <w:color w:val="E36C09" w:themeColor="accent6" w:themeShade="BF"/>
        </w:rPr>
        <w:t>。</w:t>
      </w:r>
      <w:r>
        <w:rPr>
          <w:rFonts w:hint="eastAsia" w:ascii="Times New Roman" w:hAnsi="Times New Roman" w:cs="Times New Roman"/>
          <w:color w:val="E36C09" w:themeColor="accent6" w:themeShade="BF"/>
        </w:rPr>
        <w:t>开采平台</w:t>
      </w:r>
      <w:r>
        <w:rPr>
          <w:rFonts w:hint="eastAsia"/>
          <w:color w:val="E36C09" w:themeColor="accent6" w:themeShade="BF"/>
        </w:rPr>
        <w:t>边坡角度小于5°。</w:t>
      </w:r>
    </w:p>
    <w:p w14:paraId="37DE542E">
      <w:pPr>
        <w:pStyle w:val="182"/>
        <w:topLinePunct/>
        <w:ind w:firstLine="0" w:firstLineChars="0"/>
        <w:rPr>
          <w:rFonts w:ascii="Times New Roman" w:hAnsi="Times New Roman"/>
          <w:color w:val="000000" w:themeColor="text1"/>
        </w:rPr>
      </w:pPr>
      <w:r>
        <w:rPr>
          <w:rFonts w:ascii="Times New Roman" w:hAnsi="Times New Roman"/>
          <w:color w:val="000000" w:themeColor="text1"/>
        </w:rPr>
        <w:t>表3-12 评价单元情况表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28" w:type="dxa"/>
          <w:bottom w:w="28" w:type="dxa"/>
          <w:right w:w="28" w:type="dxa"/>
        </w:tblCellMar>
      </w:tblPr>
      <w:tblGrid>
        <w:gridCol w:w="2352"/>
        <w:gridCol w:w="4795"/>
        <w:gridCol w:w="1238"/>
        <w:gridCol w:w="741"/>
      </w:tblGrid>
      <w:tr w14:paraId="4A5349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6E69E00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评价单元</w:t>
            </w:r>
          </w:p>
        </w:tc>
        <w:tc>
          <w:tcPr>
            <w:tcW w:w="4795" w:type="dxa"/>
            <w:vAlign w:val="center"/>
          </w:tcPr>
          <w:p w14:paraId="0ECC4D8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原有土地地类</w:t>
            </w:r>
          </w:p>
        </w:tc>
        <w:tc>
          <w:tcPr>
            <w:tcW w:w="1238" w:type="dxa"/>
            <w:vAlign w:val="center"/>
          </w:tcPr>
          <w:p w14:paraId="0C69FC6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损毁土地</w:t>
            </w:r>
          </w:p>
          <w:p w14:paraId="1836778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面积（h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741" w:type="dxa"/>
            <w:vAlign w:val="center"/>
          </w:tcPr>
          <w:p w14:paraId="0D714D3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损毁形式</w:t>
            </w:r>
          </w:p>
        </w:tc>
      </w:tr>
      <w:tr w14:paraId="0338AE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23574092">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评价</w:t>
            </w:r>
            <w:r>
              <w:rPr>
                <w:rFonts w:ascii="Times New Roman" w:hAnsi="Times New Roman" w:cs="Times New Roman"/>
                <w:color w:val="000000" w:themeColor="text1"/>
                <w:kern w:val="0"/>
                <w:sz w:val="24"/>
                <w:szCs w:val="24"/>
              </w:rPr>
              <w:t>单元1</w:t>
            </w:r>
          </w:p>
          <w:p w14:paraId="7D2C9FE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露天采场底部合围区、开采平台</w:t>
            </w:r>
          </w:p>
        </w:tc>
        <w:tc>
          <w:tcPr>
            <w:tcW w:w="4795" w:type="dxa"/>
            <w:vAlign w:val="center"/>
          </w:tcPr>
          <w:p w14:paraId="4EFD2C2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旱地、其他</w:t>
            </w:r>
            <w:r>
              <w:rPr>
                <w:rFonts w:hint="eastAsia" w:ascii="Times New Roman" w:hAnsi="Times New Roman" w:cs="Times New Roman"/>
                <w:color w:val="000000" w:themeColor="text1"/>
                <w:kern w:val="0"/>
                <w:sz w:val="24"/>
                <w:szCs w:val="24"/>
              </w:rPr>
              <w:t>草地</w:t>
            </w:r>
            <w:r>
              <w:rPr>
                <w:rFonts w:ascii="Times New Roman" w:hAnsi="Times New Roman" w:cs="Times New Roman"/>
                <w:color w:val="000000" w:themeColor="text1"/>
                <w:kern w:val="0"/>
                <w:sz w:val="24"/>
                <w:szCs w:val="24"/>
              </w:rPr>
              <w:t>、采矿用地</w:t>
            </w:r>
          </w:p>
        </w:tc>
        <w:tc>
          <w:tcPr>
            <w:tcW w:w="1238" w:type="dxa"/>
            <w:vAlign w:val="center"/>
          </w:tcPr>
          <w:p w14:paraId="68BDB371">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12.18</w:t>
            </w:r>
          </w:p>
        </w:tc>
        <w:tc>
          <w:tcPr>
            <w:tcW w:w="741" w:type="dxa"/>
            <w:vAlign w:val="center"/>
          </w:tcPr>
          <w:p w14:paraId="51C56E0D">
            <w:pPr>
              <w:pStyle w:val="17"/>
              <w:widowControl/>
              <w:topLinePunct/>
              <w:snapToGrid w:val="0"/>
              <w:spacing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挖损</w:t>
            </w:r>
          </w:p>
        </w:tc>
      </w:tr>
      <w:tr w14:paraId="51293F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4708DFB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评价</w:t>
            </w:r>
            <w:r>
              <w:rPr>
                <w:rFonts w:ascii="Times New Roman" w:hAnsi="Times New Roman" w:cs="Times New Roman"/>
                <w:color w:val="000000" w:themeColor="text1"/>
                <w:kern w:val="0"/>
                <w:sz w:val="24"/>
                <w:szCs w:val="24"/>
              </w:rPr>
              <w:t>单元2</w:t>
            </w:r>
          </w:p>
          <w:p w14:paraId="4968135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露天采场开采边坡</w:t>
            </w:r>
          </w:p>
        </w:tc>
        <w:tc>
          <w:tcPr>
            <w:tcW w:w="4795" w:type="dxa"/>
            <w:vAlign w:val="center"/>
          </w:tcPr>
          <w:p w14:paraId="576E208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旱地、其他</w:t>
            </w:r>
            <w:r>
              <w:rPr>
                <w:rFonts w:hint="eastAsia" w:ascii="Times New Roman" w:hAnsi="Times New Roman" w:cs="Times New Roman"/>
                <w:color w:val="000000" w:themeColor="text1"/>
                <w:kern w:val="0"/>
                <w:sz w:val="24"/>
                <w:szCs w:val="24"/>
              </w:rPr>
              <w:t>草地</w:t>
            </w:r>
            <w:r>
              <w:rPr>
                <w:rFonts w:ascii="Times New Roman" w:hAnsi="Times New Roman" w:cs="Times New Roman"/>
                <w:color w:val="000000" w:themeColor="text1"/>
                <w:kern w:val="0"/>
                <w:sz w:val="24"/>
                <w:szCs w:val="24"/>
              </w:rPr>
              <w:t>、采矿用地</w:t>
            </w:r>
          </w:p>
        </w:tc>
        <w:tc>
          <w:tcPr>
            <w:tcW w:w="1238" w:type="dxa"/>
            <w:vAlign w:val="center"/>
          </w:tcPr>
          <w:p w14:paraId="444E4C4A">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3.45</w:t>
            </w:r>
          </w:p>
        </w:tc>
        <w:tc>
          <w:tcPr>
            <w:tcW w:w="741" w:type="dxa"/>
            <w:vAlign w:val="center"/>
          </w:tcPr>
          <w:p w14:paraId="1F478F37">
            <w:pPr>
              <w:pStyle w:val="17"/>
              <w:widowControl/>
              <w:topLinePunct/>
              <w:snapToGrid w:val="0"/>
              <w:spacing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挖损</w:t>
            </w:r>
          </w:p>
        </w:tc>
      </w:tr>
      <w:tr w14:paraId="222AB7C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60FAF1C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评价</w:t>
            </w:r>
            <w:r>
              <w:rPr>
                <w:rFonts w:ascii="Times New Roman" w:hAnsi="Times New Roman" w:cs="Times New Roman"/>
                <w:color w:val="000000" w:themeColor="text1"/>
                <w:kern w:val="0"/>
                <w:sz w:val="24"/>
                <w:szCs w:val="24"/>
              </w:rPr>
              <w:t>单元</w:t>
            </w:r>
            <w:r>
              <w:rPr>
                <w:rFonts w:hint="eastAsia" w:ascii="Times New Roman" w:hAnsi="Times New Roman" w:cs="Times New Roman"/>
                <w:color w:val="000000" w:themeColor="text1"/>
                <w:kern w:val="0"/>
                <w:sz w:val="24"/>
                <w:szCs w:val="24"/>
              </w:rPr>
              <w:t>3</w:t>
            </w:r>
          </w:p>
          <w:p w14:paraId="0995915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排土场</w:t>
            </w:r>
          </w:p>
        </w:tc>
        <w:tc>
          <w:tcPr>
            <w:tcW w:w="4795" w:type="dxa"/>
            <w:vAlign w:val="center"/>
          </w:tcPr>
          <w:p w14:paraId="0D45CA9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采矿用地</w:t>
            </w:r>
          </w:p>
        </w:tc>
        <w:tc>
          <w:tcPr>
            <w:tcW w:w="1238" w:type="dxa"/>
            <w:vAlign w:val="center"/>
          </w:tcPr>
          <w:p w14:paraId="2CF42D2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w:t>
            </w:r>
            <w:r>
              <w:rPr>
                <w:rFonts w:hint="eastAsia" w:ascii="Times New Roman" w:hAnsi="Times New Roman" w:cs="Times New Roman"/>
                <w:color w:val="000000" w:themeColor="text1"/>
                <w:kern w:val="0"/>
                <w:sz w:val="24"/>
                <w:szCs w:val="24"/>
              </w:rPr>
              <w:t>36</w:t>
            </w:r>
          </w:p>
        </w:tc>
        <w:tc>
          <w:tcPr>
            <w:tcW w:w="741" w:type="dxa"/>
            <w:vAlign w:val="center"/>
          </w:tcPr>
          <w:p w14:paraId="571BDA30">
            <w:pPr>
              <w:pStyle w:val="17"/>
              <w:widowControl/>
              <w:topLinePunct/>
              <w:snapToGrid w:val="0"/>
              <w:spacing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压占</w:t>
            </w:r>
          </w:p>
        </w:tc>
      </w:tr>
      <w:tr w14:paraId="18939B3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581BE57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4795" w:type="dxa"/>
            <w:vAlign w:val="center"/>
          </w:tcPr>
          <w:p w14:paraId="3A0F603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38" w:type="dxa"/>
            <w:vAlign w:val="center"/>
          </w:tcPr>
          <w:p w14:paraId="13DE54A9">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15.99</w:t>
            </w:r>
          </w:p>
        </w:tc>
        <w:tc>
          <w:tcPr>
            <w:tcW w:w="741" w:type="dxa"/>
            <w:vAlign w:val="center"/>
          </w:tcPr>
          <w:p w14:paraId="13950E25">
            <w:pPr>
              <w:widowControl/>
              <w:topLinePunct/>
              <w:snapToGrid w:val="0"/>
              <w:spacing w:line="240" w:lineRule="auto"/>
              <w:jc w:val="center"/>
              <w:rPr>
                <w:rFonts w:ascii="Times New Roman" w:hAnsi="Times New Roman" w:cs="Times New Roman"/>
                <w:color w:val="000000" w:themeColor="text1"/>
                <w:kern w:val="0"/>
                <w:sz w:val="24"/>
                <w:szCs w:val="24"/>
              </w:rPr>
            </w:pPr>
          </w:p>
        </w:tc>
      </w:tr>
    </w:tbl>
    <w:p w14:paraId="6B52D328">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（2）初步复垦方向的确定</w:t>
      </w:r>
    </w:p>
    <w:p w14:paraId="35D3D75F">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根据土地利用总体规划，并与生态环境保护相衔接，从矿区实际出发，通过对矿区自然因素、社会经济因素、政策因素和公众意愿的分析，初步确定项目区土地复垦方向。</w:t>
      </w:r>
    </w:p>
    <w:p w14:paraId="7EE3F618">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1）自然和社会经济因素分析</w:t>
      </w:r>
    </w:p>
    <w:p w14:paraId="0248BCC4">
      <w:pPr>
        <w:pStyle w:val="178"/>
        <w:topLinePunct/>
        <w:rPr>
          <w:rFonts w:ascii="Times New Roman" w:hAnsi="Times New Roman" w:cs="Times New Roman"/>
          <w:color w:val="000000" w:themeColor="text1"/>
        </w:rPr>
      </w:pPr>
      <w:r>
        <w:rPr>
          <w:rFonts w:ascii="Times New Roman" w:hAnsi="Times New Roman" w:cs="Times New Roman"/>
          <w:color w:val="000000" w:themeColor="text1"/>
        </w:rPr>
        <w:t>复垦区土壤类型以暗棕壤为主，土地主要利用方式为旱地、其他草地、采矿用地。企业具有雄厚的经济实力，同时具有很强的社会责任感，这将为保障生态修复方案顺利实施奠定坚实的基础。</w:t>
      </w:r>
    </w:p>
    <w:p w14:paraId="43C78B76">
      <w:pPr>
        <w:pStyle w:val="178"/>
        <w:topLinePunct/>
        <w:rPr>
          <w:rFonts w:ascii="Times New Roman" w:hAnsi="Times New Roman" w:cs="Times New Roman"/>
          <w:color w:val="000000" w:themeColor="text1"/>
        </w:rPr>
      </w:pPr>
      <w:r>
        <w:rPr>
          <w:rFonts w:ascii="Times New Roman" w:hAnsi="Times New Roman" w:cs="Times New Roman"/>
          <w:color w:val="000000" w:themeColor="text1"/>
        </w:rPr>
        <w:t>2）政策因素分析</w:t>
      </w:r>
    </w:p>
    <w:p w14:paraId="3AB5334E">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根据相关规划，复垦区的土地复垦工作应本着因地制宜、合理利用的原则，坚持矿区开发与保护、开采与复垦相结合，实现土地资源的永续利用，并与社会、经济、环境协调发展。</w:t>
      </w:r>
    </w:p>
    <w:p w14:paraId="6EE120A1">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3）公众参与分析</w:t>
      </w:r>
    </w:p>
    <w:p w14:paraId="0F2C36CE">
      <w:pPr>
        <w:pStyle w:val="178"/>
        <w:topLinePunct/>
        <w:rPr>
          <w:rFonts w:ascii="Times New Roman" w:hAnsi="Times New Roman" w:cs="Times New Roman"/>
          <w:color w:val="000000" w:themeColor="text1"/>
        </w:rPr>
      </w:pPr>
      <w:r>
        <w:rPr>
          <w:rFonts w:ascii="Times New Roman" w:hAnsi="Times New Roman" w:cs="Times New Roman"/>
          <w:color w:val="000000" w:themeColor="text1"/>
        </w:rPr>
        <w:t>当地自然资源主管部门核实当地的土地利用现状及权属性质后，提出复垦区确定复垦方向以林地为主，在技术人员的陪同下，编制人员又走访了土地复垦影响区域的土地权利人，积极听取了他们的意见，得到了他们的大力支持，并且提出建议希望企业做好复垦工作，建议露天采场底部合围区、开采平台</w:t>
      </w:r>
      <w:r>
        <w:rPr>
          <w:rFonts w:hint="eastAsia" w:ascii="Times New Roman" w:hAnsi="Times New Roman" w:cs="Times New Roman"/>
          <w:color w:val="000000" w:themeColor="text1"/>
          <w:lang w:eastAsia="zh-CN"/>
        </w:rPr>
        <w:t>、</w:t>
      </w:r>
      <w:r>
        <w:rPr>
          <w:rFonts w:ascii="Times New Roman" w:hAnsi="Times New Roman" w:cs="Times New Roman"/>
          <w:color w:val="000000" w:themeColor="text1"/>
        </w:rPr>
        <w:t>排土场以恢复林地为主。</w:t>
      </w:r>
    </w:p>
    <w:p w14:paraId="59008F9B">
      <w:pPr>
        <w:pStyle w:val="178"/>
        <w:topLinePunct/>
        <w:rPr>
          <w:rFonts w:ascii="Times New Roman" w:hAnsi="Times New Roman" w:cs="Times New Roman"/>
          <w:color w:val="000000" w:themeColor="text1"/>
        </w:rPr>
      </w:pPr>
      <w:r>
        <w:rPr>
          <w:rFonts w:ascii="Times New Roman" w:hAnsi="Times New Roman" w:cs="Times New Roman"/>
          <w:color w:val="000000" w:themeColor="text1"/>
        </w:rPr>
        <w:t>综合以上因素分析，确定复垦区的复垦利用方向以林地为主。</w:t>
      </w:r>
    </w:p>
    <w:p w14:paraId="38129C28">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（3）土地复垦适宜性等级评定</w:t>
      </w:r>
    </w:p>
    <w:p w14:paraId="42DE0547">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1）评价方法的选择</w:t>
      </w:r>
    </w:p>
    <w:p w14:paraId="1862C51D">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本方案采用极限法对复垦区进行宜耕、宜林、宜草适宜性评价。极限法是基于系统工程中“木桶原理”，即分类单元的最终质量取决于条件最差的因子的质量。其计算公式为：</w:t>
      </w:r>
    </w:p>
    <w:p w14:paraId="019568E7">
      <w:pPr>
        <w:pStyle w:val="178"/>
        <w:topLinePunct/>
        <w:rPr>
          <w:rFonts w:ascii="Times New Roman" w:hAnsi="Times New Roman" w:cs="Times New Roman"/>
          <w:color w:val="000000" w:themeColor="text1"/>
        </w:rPr>
      </w:pPr>
      <w:r>
        <w:rPr>
          <w:rFonts w:ascii="Times New Roman" w:hAnsi="Times New Roman" w:cs="Times New Roman"/>
          <w:color w:val="000000" w:themeColor="text1"/>
        </w:rPr>
        <w:t>Y</w:t>
      </w:r>
      <w:r>
        <w:rPr>
          <w:rFonts w:ascii="Times New Roman" w:hAnsi="Times New Roman" w:cs="Times New Roman"/>
          <w:color w:val="000000" w:themeColor="text1"/>
          <w:vertAlign w:val="subscript"/>
        </w:rPr>
        <w:t>i</w:t>
      </w:r>
      <w:r>
        <w:rPr>
          <w:rFonts w:ascii="Times New Roman" w:hAnsi="Times New Roman" w:cs="Times New Roman"/>
          <w:color w:val="000000" w:themeColor="text1"/>
        </w:rPr>
        <w:t>=min（Y</w:t>
      </w:r>
      <w:r>
        <w:rPr>
          <w:rFonts w:ascii="Times New Roman" w:hAnsi="Times New Roman" w:cs="Times New Roman"/>
          <w:color w:val="000000" w:themeColor="text1"/>
          <w:vertAlign w:val="subscript"/>
        </w:rPr>
        <w:t>ij</w:t>
      </w:r>
      <w:r>
        <w:rPr>
          <w:rFonts w:ascii="Times New Roman" w:hAnsi="Times New Roman" w:cs="Times New Roman"/>
          <w:color w:val="000000" w:themeColor="text1"/>
        </w:rPr>
        <w:t>）（公式3-1）</w:t>
      </w:r>
    </w:p>
    <w:p w14:paraId="1072F4A7">
      <w:pPr>
        <w:pStyle w:val="178"/>
        <w:topLinePunct/>
        <w:rPr>
          <w:rFonts w:ascii="Times New Roman" w:hAnsi="Times New Roman" w:cs="Times New Roman"/>
          <w:color w:val="000000" w:themeColor="text1"/>
        </w:rPr>
      </w:pPr>
      <w:r>
        <w:rPr>
          <w:rFonts w:ascii="Times New Roman" w:hAnsi="Times New Roman" w:cs="Times New Roman"/>
          <w:color w:val="000000" w:themeColor="text1"/>
        </w:rPr>
        <w:t>式中：Y</w:t>
      </w:r>
      <w:r>
        <w:rPr>
          <w:rFonts w:ascii="Times New Roman" w:hAnsi="Times New Roman" w:cs="Times New Roman"/>
          <w:color w:val="000000" w:themeColor="text1"/>
          <w:vertAlign w:val="subscript"/>
        </w:rPr>
        <w:t>i</w:t>
      </w:r>
      <w:r>
        <w:rPr>
          <w:rFonts w:ascii="Times New Roman" w:hAnsi="Times New Roman" w:cs="Times New Roman"/>
          <w:color w:val="000000" w:themeColor="text1"/>
        </w:rPr>
        <w:t>——第i个评价单元的最终分值</w:t>
      </w:r>
    </w:p>
    <w:p w14:paraId="6DA469DA">
      <w:pPr>
        <w:pStyle w:val="178"/>
        <w:topLinePunct/>
        <w:rPr>
          <w:rFonts w:ascii="Times New Roman" w:hAnsi="Times New Roman" w:cs="Times New Roman"/>
          <w:color w:val="000000" w:themeColor="text1"/>
        </w:rPr>
      </w:pPr>
      <w:r>
        <w:rPr>
          <w:rFonts w:ascii="Times New Roman" w:hAnsi="Times New Roman" w:cs="Times New Roman"/>
          <w:color w:val="000000" w:themeColor="text1"/>
        </w:rPr>
        <w:t>Y</w:t>
      </w:r>
      <w:r>
        <w:rPr>
          <w:rFonts w:ascii="Times New Roman" w:hAnsi="Times New Roman" w:cs="Times New Roman"/>
          <w:color w:val="000000" w:themeColor="text1"/>
          <w:vertAlign w:val="subscript"/>
        </w:rPr>
        <w:t>ij</w:t>
      </w:r>
      <w:r>
        <w:rPr>
          <w:rFonts w:ascii="Times New Roman" w:hAnsi="Times New Roman" w:cs="Times New Roman"/>
          <w:color w:val="000000" w:themeColor="text1"/>
        </w:rPr>
        <w:t>——第i个评价单元中第j参评因子的分值</w:t>
      </w:r>
    </w:p>
    <w:p w14:paraId="28C6DE6B">
      <w:pPr>
        <w:pStyle w:val="178"/>
        <w:topLinePunct/>
        <w:rPr>
          <w:rFonts w:ascii="Times New Roman" w:hAnsi="Times New Roman" w:cs="Times New Roman"/>
          <w:color w:val="000000" w:themeColor="text1"/>
        </w:rPr>
      </w:pPr>
      <w:r>
        <w:rPr>
          <w:rFonts w:ascii="Times New Roman" w:hAnsi="Times New Roman" w:cs="Times New Roman"/>
          <w:color w:val="000000" w:themeColor="text1"/>
        </w:rPr>
        <w:t>2）评价体系</w:t>
      </w:r>
    </w:p>
    <w:p w14:paraId="6C17CFA7">
      <w:pPr>
        <w:pStyle w:val="178"/>
        <w:topLinePunct/>
        <w:rPr>
          <w:rFonts w:ascii="Times New Roman" w:hAnsi="Times New Roman" w:cs="Times New Roman"/>
          <w:color w:val="000000" w:themeColor="text1"/>
        </w:rPr>
      </w:pPr>
      <w:r>
        <w:rPr>
          <w:rFonts w:ascii="Times New Roman" w:hAnsi="Times New Roman" w:cs="Times New Roman"/>
          <w:color w:val="000000" w:themeColor="text1"/>
        </w:rPr>
        <w:t>采用二级评价体系，分为适宜类和适宜等，适宜类分适宜和不适宜，适宜等再续分为一等地、二等地和三等地。</w:t>
      </w:r>
    </w:p>
    <w:p w14:paraId="7BA55E1C">
      <w:pPr>
        <w:pStyle w:val="178"/>
        <w:topLinePunct/>
        <w:rPr>
          <w:rFonts w:ascii="Times New Roman" w:hAnsi="Times New Roman" w:cs="Times New Roman"/>
          <w:color w:val="000000" w:themeColor="text1"/>
        </w:rPr>
      </w:pPr>
      <w:r>
        <w:rPr>
          <w:rFonts w:ascii="Times New Roman" w:hAnsi="Times New Roman" w:cs="Times New Roman"/>
          <w:color w:val="000000" w:themeColor="text1"/>
        </w:rPr>
        <w:t>3）评价指标的选择</w:t>
      </w:r>
    </w:p>
    <w:p w14:paraId="19FA8EE6">
      <w:pPr>
        <w:pStyle w:val="178"/>
        <w:topLinePunct/>
        <w:rPr>
          <w:rFonts w:ascii="Times New Roman" w:hAnsi="Times New Roman" w:cs="Times New Roman"/>
          <w:color w:val="000000" w:themeColor="text1"/>
        </w:rPr>
      </w:pPr>
      <w:r>
        <w:rPr>
          <w:rFonts w:ascii="Times New Roman" w:hAnsi="Times New Roman" w:cs="Times New Roman"/>
          <w:color w:val="000000" w:themeColor="text1"/>
        </w:rPr>
        <w:t>评价指标选择地表物质组成、土源保证率（%）、土源土壤有机质含量（g/kg）、土源土壤质地、地面坡度（°）。</w:t>
      </w:r>
    </w:p>
    <w:p w14:paraId="116CB949">
      <w:pPr>
        <w:pStyle w:val="178"/>
        <w:topLinePunct/>
        <w:rPr>
          <w:rFonts w:ascii="Times New Roman" w:hAnsi="Times New Roman" w:cs="Times New Roman"/>
          <w:color w:val="000000" w:themeColor="text1"/>
        </w:rPr>
      </w:pPr>
      <w:r>
        <w:rPr>
          <w:rFonts w:ascii="Times New Roman" w:hAnsi="Times New Roman" w:cs="Times New Roman"/>
          <w:color w:val="000000" w:themeColor="text1"/>
        </w:rPr>
        <w:t>4）评价因素等级标准的确定</w:t>
      </w:r>
    </w:p>
    <w:p w14:paraId="313F7B72">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根据《农用地定级规程》（TD/T1005-2003）及地方相关标准，结合项目区自然、社会经济状况，建立土地复垦适宜性评价标准。土地复垦主要限制因素的等级标准见表3-13。</w:t>
      </w:r>
    </w:p>
    <w:p w14:paraId="3EFF224C">
      <w:pPr>
        <w:pStyle w:val="182"/>
        <w:topLinePunct/>
        <w:ind w:firstLine="0" w:firstLineChars="0"/>
        <w:rPr>
          <w:rFonts w:ascii="Times New Roman" w:hAnsi="Times New Roman"/>
          <w:color w:val="000000" w:themeColor="text1"/>
        </w:rPr>
      </w:pPr>
      <w:r>
        <w:rPr>
          <w:rFonts w:ascii="Times New Roman" w:hAnsi="Times New Roman"/>
          <w:color w:val="000000" w:themeColor="text1"/>
        </w:rPr>
        <w:t>表3-13土地复垦主要限制因素的等级标准</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8"/>
        <w:gridCol w:w="1888"/>
        <w:gridCol w:w="1809"/>
        <w:gridCol w:w="1809"/>
        <w:gridCol w:w="1792"/>
      </w:tblGrid>
      <w:tr w14:paraId="1D4F4D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3557" w:type="dxa"/>
            <w:gridSpan w:val="2"/>
            <w:vAlign w:val="center"/>
          </w:tcPr>
          <w:p w14:paraId="64C42365">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限制因素及分级指标</w:t>
            </w:r>
          </w:p>
        </w:tc>
        <w:tc>
          <w:tcPr>
            <w:tcW w:w="1660" w:type="dxa"/>
            <w:vAlign w:val="center"/>
          </w:tcPr>
          <w:p w14:paraId="36079B04">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耕地评价</w:t>
            </w:r>
          </w:p>
        </w:tc>
        <w:tc>
          <w:tcPr>
            <w:tcW w:w="1660" w:type="dxa"/>
            <w:vAlign w:val="center"/>
          </w:tcPr>
          <w:p w14:paraId="034BCC5F">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林地评价</w:t>
            </w:r>
          </w:p>
        </w:tc>
        <w:tc>
          <w:tcPr>
            <w:tcW w:w="1645" w:type="dxa"/>
            <w:vAlign w:val="center"/>
          </w:tcPr>
          <w:p w14:paraId="1721DE30">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草地评价</w:t>
            </w:r>
          </w:p>
        </w:tc>
      </w:tr>
      <w:tr w14:paraId="0AF8D5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0A69C51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地表物质组成</w:t>
            </w:r>
          </w:p>
        </w:tc>
        <w:tc>
          <w:tcPr>
            <w:tcW w:w="1733" w:type="dxa"/>
            <w:vAlign w:val="center"/>
          </w:tcPr>
          <w:p w14:paraId="55AEB59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壤土、砂壤土</w:t>
            </w:r>
          </w:p>
        </w:tc>
        <w:tc>
          <w:tcPr>
            <w:tcW w:w="1660" w:type="dxa"/>
            <w:vAlign w:val="center"/>
          </w:tcPr>
          <w:p w14:paraId="5EBCE10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1等或2等</w:t>
            </w:r>
          </w:p>
        </w:tc>
        <w:tc>
          <w:tcPr>
            <w:tcW w:w="1660" w:type="dxa"/>
            <w:vAlign w:val="center"/>
          </w:tcPr>
          <w:p w14:paraId="6F11794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c>
          <w:tcPr>
            <w:tcW w:w="1645" w:type="dxa"/>
            <w:vAlign w:val="center"/>
          </w:tcPr>
          <w:p w14:paraId="18730EC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r>
      <w:tr w14:paraId="3E1A1F3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553C14F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33" w:type="dxa"/>
            <w:vAlign w:val="center"/>
          </w:tcPr>
          <w:p w14:paraId="61BA442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岩土混合物</w:t>
            </w:r>
          </w:p>
        </w:tc>
        <w:tc>
          <w:tcPr>
            <w:tcW w:w="1660" w:type="dxa"/>
            <w:vAlign w:val="center"/>
          </w:tcPr>
          <w:p w14:paraId="58A8A35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3等</w:t>
            </w:r>
          </w:p>
        </w:tc>
        <w:tc>
          <w:tcPr>
            <w:tcW w:w="1660" w:type="dxa"/>
            <w:vAlign w:val="center"/>
          </w:tcPr>
          <w:p w14:paraId="271783B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w:t>
            </w:r>
          </w:p>
        </w:tc>
        <w:tc>
          <w:tcPr>
            <w:tcW w:w="1645" w:type="dxa"/>
            <w:vAlign w:val="center"/>
          </w:tcPr>
          <w:p w14:paraId="7DC541E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w:t>
            </w:r>
          </w:p>
        </w:tc>
      </w:tr>
      <w:tr w14:paraId="0438E1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1824" w:type="dxa"/>
            <w:vMerge w:val="continue"/>
            <w:vAlign w:val="center"/>
          </w:tcPr>
          <w:p w14:paraId="00C8F075">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33" w:type="dxa"/>
            <w:vAlign w:val="center"/>
          </w:tcPr>
          <w:p w14:paraId="3687363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砂土、砾质</w:t>
            </w:r>
          </w:p>
        </w:tc>
        <w:tc>
          <w:tcPr>
            <w:tcW w:w="1660" w:type="dxa"/>
            <w:vAlign w:val="center"/>
          </w:tcPr>
          <w:p w14:paraId="6169E01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3等或N</w:t>
            </w:r>
          </w:p>
        </w:tc>
        <w:tc>
          <w:tcPr>
            <w:tcW w:w="1660" w:type="dxa"/>
            <w:vAlign w:val="center"/>
          </w:tcPr>
          <w:p w14:paraId="3028B3A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2等或3等</w:t>
            </w:r>
          </w:p>
        </w:tc>
        <w:tc>
          <w:tcPr>
            <w:tcW w:w="1645" w:type="dxa"/>
            <w:vAlign w:val="center"/>
          </w:tcPr>
          <w:p w14:paraId="4F53D83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2等或3等</w:t>
            </w:r>
          </w:p>
        </w:tc>
      </w:tr>
      <w:tr w14:paraId="3C3E8E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1411BF4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33" w:type="dxa"/>
            <w:vAlign w:val="center"/>
          </w:tcPr>
          <w:p w14:paraId="2E390F9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砾质</w:t>
            </w:r>
          </w:p>
        </w:tc>
        <w:tc>
          <w:tcPr>
            <w:tcW w:w="1660" w:type="dxa"/>
            <w:vAlign w:val="center"/>
          </w:tcPr>
          <w:p w14:paraId="4429DCE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660" w:type="dxa"/>
            <w:vAlign w:val="center"/>
          </w:tcPr>
          <w:p w14:paraId="6DC9EF7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3等或N</w:t>
            </w:r>
          </w:p>
        </w:tc>
        <w:tc>
          <w:tcPr>
            <w:tcW w:w="1645" w:type="dxa"/>
            <w:vAlign w:val="center"/>
          </w:tcPr>
          <w:p w14:paraId="2C83831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3等或N</w:t>
            </w:r>
          </w:p>
        </w:tc>
      </w:tr>
      <w:tr w14:paraId="0637C9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71B7F36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土源保证率（%）</w:t>
            </w:r>
          </w:p>
        </w:tc>
        <w:tc>
          <w:tcPr>
            <w:tcW w:w="1733" w:type="dxa"/>
            <w:vAlign w:val="center"/>
          </w:tcPr>
          <w:p w14:paraId="519EB55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100</w:t>
            </w:r>
          </w:p>
        </w:tc>
        <w:tc>
          <w:tcPr>
            <w:tcW w:w="1660" w:type="dxa"/>
            <w:vAlign w:val="center"/>
          </w:tcPr>
          <w:p w14:paraId="420AD7A5">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c>
          <w:tcPr>
            <w:tcW w:w="1660" w:type="dxa"/>
            <w:vAlign w:val="center"/>
          </w:tcPr>
          <w:p w14:paraId="7B350E17">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c>
          <w:tcPr>
            <w:tcW w:w="1645" w:type="dxa"/>
            <w:vAlign w:val="center"/>
          </w:tcPr>
          <w:p w14:paraId="1B34A66A">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r>
      <w:tr w14:paraId="13E639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3473C16B">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33" w:type="dxa"/>
            <w:vAlign w:val="center"/>
          </w:tcPr>
          <w:p w14:paraId="0EFD771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80～100</w:t>
            </w:r>
          </w:p>
        </w:tc>
        <w:tc>
          <w:tcPr>
            <w:tcW w:w="1660" w:type="dxa"/>
            <w:vAlign w:val="center"/>
          </w:tcPr>
          <w:p w14:paraId="2B8A133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1等或2等</w:t>
            </w:r>
          </w:p>
        </w:tc>
        <w:tc>
          <w:tcPr>
            <w:tcW w:w="1660" w:type="dxa"/>
            <w:vAlign w:val="center"/>
          </w:tcPr>
          <w:p w14:paraId="2700AB9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c>
          <w:tcPr>
            <w:tcW w:w="1645" w:type="dxa"/>
            <w:vAlign w:val="center"/>
          </w:tcPr>
          <w:p w14:paraId="731EDCC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r>
      <w:tr w14:paraId="7C35FE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7BDC856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33" w:type="dxa"/>
            <w:vAlign w:val="center"/>
          </w:tcPr>
          <w:p w14:paraId="34F63C0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50～80</w:t>
            </w:r>
          </w:p>
        </w:tc>
        <w:tc>
          <w:tcPr>
            <w:tcW w:w="1660" w:type="dxa"/>
            <w:vAlign w:val="center"/>
          </w:tcPr>
          <w:p w14:paraId="6C1CF84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3等</w:t>
            </w:r>
          </w:p>
        </w:tc>
        <w:tc>
          <w:tcPr>
            <w:tcW w:w="1660" w:type="dxa"/>
            <w:vAlign w:val="center"/>
          </w:tcPr>
          <w:p w14:paraId="75FD35F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2等或3等</w:t>
            </w:r>
          </w:p>
        </w:tc>
        <w:tc>
          <w:tcPr>
            <w:tcW w:w="1645" w:type="dxa"/>
            <w:vAlign w:val="center"/>
          </w:tcPr>
          <w:p w14:paraId="4FED514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3等</w:t>
            </w:r>
          </w:p>
        </w:tc>
      </w:tr>
      <w:tr w14:paraId="7D5AD5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24ED29E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33" w:type="dxa"/>
            <w:vAlign w:val="center"/>
          </w:tcPr>
          <w:p w14:paraId="3594619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＜50</w:t>
            </w:r>
          </w:p>
        </w:tc>
        <w:tc>
          <w:tcPr>
            <w:tcW w:w="1660" w:type="dxa"/>
            <w:vAlign w:val="center"/>
          </w:tcPr>
          <w:p w14:paraId="4008534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660" w:type="dxa"/>
            <w:vAlign w:val="center"/>
          </w:tcPr>
          <w:p w14:paraId="782843E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645" w:type="dxa"/>
            <w:vAlign w:val="center"/>
          </w:tcPr>
          <w:p w14:paraId="76324F7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r>
      <w:tr w14:paraId="33D3D9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6EA81CE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土源土壤有机质含量（g/kg）</w:t>
            </w:r>
          </w:p>
        </w:tc>
        <w:tc>
          <w:tcPr>
            <w:tcW w:w="1733" w:type="dxa"/>
            <w:vAlign w:val="center"/>
          </w:tcPr>
          <w:p w14:paraId="56F4730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w:t>
            </w:r>
          </w:p>
        </w:tc>
        <w:tc>
          <w:tcPr>
            <w:tcW w:w="1660" w:type="dxa"/>
            <w:vAlign w:val="center"/>
          </w:tcPr>
          <w:p w14:paraId="3D704E6C">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c>
          <w:tcPr>
            <w:tcW w:w="1660" w:type="dxa"/>
            <w:vAlign w:val="center"/>
          </w:tcPr>
          <w:p w14:paraId="09D66622">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c>
          <w:tcPr>
            <w:tcW w:w="1645" w:type="dxa"/>
            <w:vAlign w:val="center"/>
          </w:tcPr>
          <w:p w14:paraId="4643C983">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r>
      <w:tr w14:paraId="3DC698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7FEB0CF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33" w:type="dxa"/>
            <w:vAlign w:val="center"/>
          </w:tcPr>
          <w:p w14:paraId="012609F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10～6</w:t>
            </w:r>
          </w:p>
        </w:tc>
        <w:tc>
          <w:tcPr>
            <w:tcW w:w="1660" w:type="dxa"/>
            <w:vAlign w:val="center"/>
          </w:tcPr>
          <w:p w14:paraId="12D45C8F">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w:t>
            </w:r>
          </w:p>
        </w:tc>
        <w:tc>
          <w:tcPr>
            <w:tcW w:w="1660" w:type="dxa"/>
            <w:vAlign w:val="center"/>
          </w:tcPr>
          <w:p w14:paraId="2BC414FA">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1等或2等</w:t>
            </w:r>
          </w:p>
        </w:tc>
        <w:tc>
          <w:tcPr>
            <w:tcW w:w="1645" w:type="dxa"/>
            <w:vAlign w:val="center"/>
          </w:tcPr>
          <w:p w14:paraId="3803047C">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r>
      <w:tr w14:paraId="7D9133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12B7F74A">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33" w:type="dxa"/>
            <w:vAlign w:val="center"/>
          </w:tcPr>
          <w:p w14:paraId="3029ECE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＜6</w:t>
            </w:r>
          </w:p>
        </w:tc>
        <w:tc>
          <w:tcPr>
            <w:tcW w:w="1660" w:type="dxa"/>
            <w:vAlign w:val="center"/>
          </w:tcPr>
          <w:p w14:paraId="23D5CA20">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2等或3等</w:t>
            </w:r>
          </w:p>
        </w:tc>
        <w:tc>
          <w:tcPr>
            <w:tcW w:w="1660" w:type="dxa"/>
            <w:vAlign w:val="center"/>
          </w:tcPr>
          <w:p w14:paraId="51012DCB">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2等或3等</w:t>
            </w:r>
          </w:p>
        </w:tc>
        <w:tc>
          <w:tcPr>
            <w:tcW w:w="1645" w:type="dxa"/>
            <w:vAlign w:val="center"/>
          </w:tcPr>
          <w:p w14:paraId="44072307">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w:t>
            </w:r>
          </w:p>
        </w:tc>
      </w:tr>
      <w:tr w14:paraId="716F26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69EA94F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土源土壤质地</w:t>
            </w:r>
          </w:p>
        </w:tc>
        <w:tc>
          <w:tcPr>
            <w:tcW w:w="1733" w:type="dxa"/>
            <w:vAlign w:val="center"/>
          </w:tcPr>
          <w:p w14:paraId="5E5037B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壤土</w:t>
            </w:r>
          </w:p>
        </w:tc>
        <w:tc>
          <w:tcPr>
            <w:tcW w:w="1660" w:type="dxa"/>
            <w:vAlign w:val="center"/>
          </w:tcPr>
          <w:p w14:paraId="5671C404">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c>
          <w:tcPr>
            <w:tcW w:w="1660" w:type="dxa"/>
            <w:vAlign w:val="center"/>
          </w:tcPr>
          <w:p w14:paraId="17B2BA4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645" w:type="dxa"/>
            <w:vAlign w:val="center"/>
          </w:tcPr>
          <w:p w14:paraId="2A270DC3">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0E1C83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41FF6FA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33" w:type="dxa"/>
            <w:vAlign w:val="center"/>
          </w:tcPr>
          <w:p w14:paraId="7C74B92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粘壤土、粘土</w:t>
            </w:r>
          </w:p>
        </w:tc>
        <w:tc>
          <w:tcPr>
            <w:tcW w:w="1660" w:type="dxa"/>
            <w:vAlign w:val="center"/>
          </w:tcPr>
          <w:p w14:paraId="67BCB0D7">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w:t>
            </w:r>
          </w:p>
        </w:tc>
        <w:tc>
          <w:tcPr>
            <w:tcW w:w="1660" w:type="dxa"/>
            <w:vAlign w:val="center"/>
          </w:tcPr>
          <w:p w14:paraId="0BA8EB5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645" w:type="dxa"/>
            <w:vAlign w:val="center"/>
          </w:tcPr>
          <w:p w14:paraId="1AF678E4">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4CE63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24212F9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33" w:type="dxa"/>
            <w:vAlign w:val="center"/>
          </w:tcPr>
          <w:p w14:paraId="6696503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砂土</w:t>
            </w:r>
          </w:p>
        </w:tc>
        <w:tc>
          <w:tcPr>
            <w:tcW w:w="1660" w:type="dxa"/>
            <w:vAlign w:val="center"/>
          </w:tcPr>
          <w:p w14:paraId="07993F29">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3等或N</w:t>
            </w:r>
          </w:p>
        </w:tc>
        <w:tc>
          <w:tcPr>
            <w:tcW w:w="1660" w:type="dxa"/>
            <w:vAlign w:val="center"/>
          </w:tcPr>
          <w:p w14:paraId="2B868E8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645" w:type="dxa"/>
            <w:vAlign w:val="center"/>
          </w:tcPr>
          <w:p w14:paraId="0444235C">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61ED53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004CCA6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地面坡度（°）</w:t>
            </w:r>
          </w:p>
        </w:tc>
        <w:tc>
          <w:tcPr>
            <w:tcW w:w="1733" w:type="dxa"/>
            <w:vAlign w:val="center"/>
          </w:tcPr>
          <w:p w14:paraId="1828CA1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w:t>
            </w:r>
          </w:p>
        </w:tc>
        <w:tc>
          <w:tcPr>
            <w:tcW w:w="1660" w:type="dxa"/>
            <w:vAlign w:val="center"/>
          </w:tcPr>
          <w:p w14:paraId="0FBC6C8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c>
          <w:tcPr>
            <w:tcW w:w="1660" w:type="dxa"/>
            <w:vAlign w:val="center"/>
          </w:tcPr>
          <w:p w14:paraId="2D9AA3A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c>
          <w:tcPr>
            <w:tcW w:w="1645" w:type="dxa"/>
            <w:vAlign w:val="center"/>
          </w:tcPr>
          <w:p w14:paraId="56F375F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r>
      <w:tr w14:paraId="406425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0DDAB461">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33" w:type="dxa"/>
            <w:vAlign w:val="center"/>
          </w:tcPr>
          <w:p w14:paraId="1AF2D87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6°～15°</w:t>
            </w:r>
          </w:p>
        </w:tc>
        <w:tc>
          <w:tcPr>
            <w:tcW w:w="1660" w:type="dxa"/>
            <w:vAlign w:val="center"/>
          </w:tcPr>
          <w:p w14:paraId="3D26222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w:t>
            </w:r>
          </w:p>
        </w:tc>
        <w:tc>
          <w:tcPr>
            <w:tcW w:w="1660" w:type="dxa"/>
            <w:vAlign w:val="center"/>
          </w:tcPr>
          <w:p w14:paraId="62AABEB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w:t>
            </w:r>
          </w:p>
        </w:tc>
        <w:tc>
          <w:tcPr>
            <w:tcW w:w="1645" w:type="dxa"/>
            <w:vAlign w:val="center"/>
          </w:tcPr>
          <w:p w14:paraId="10EDB8C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1等</w:t>
            </w:r>
          </w:p>
        </w:tc>
      </w:tr>
      <w:tr w14:paraId="0CF62E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7A0BA2F3">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33" w:type="dxa"/>
            <w:vAlign w:val="center"/>
          </w:tcPr>
          <w:p w14:paraId="2CB71EF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15°～25°</w:t>
            </w:r>
          </w:p>
        </w:tc>
        <w:tc>
          <w:tcPr>
            <w:tcW w:w="1660" w:type="dxa"/>
            <w:vAlign w:val="center"/>
          </w:tcPr>
          <w:p w14:paraId="49D13F1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3等或N</w:t>
            </w:r>
          </w:p>
        </w:tc>
        <w:tc>
          <w:tcPr>
            <w:tcW w:w="1660" w:type="dxa"/>
            <w:vAlign w:val="center"/>
          </w:tcPr>
          <w:p w14:paraId="75A04D0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3等</w:t>
            </w:r>
          </w:p>
        </w:tc>
        <w:tc>
          <w:tcPr>
            <w:tcW w:w="1645" w:type="dxa"/>
            <w:vAlign w:val="center"/>
          </w:tcPr>
          <w:p w14:paraId="1F38F1C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2等或3等</w:t>
            </w:r>
          </w:p>
        </w:tc>
      </w:tr>
      <w:tr w14:paraId="7741F2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96" w:hRule="atLeast"/>
        </w:trPr>
        <w:tc>
          <w:tcPr>
            <w:tcW w:w="1824" w:type="dxa"/>
            <w:vMerge w:val="continue"/>
            <w:vAlign w:val="center"/>
          </w:tcPr>
          <w:p w14:paraId="48884C6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33" w:type="dxa"/>
            <w:vAlign w:val="center"/>
          </w:tcPr>
          <w:p w14:paraId="3482F5B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＞25°</w:t>
            </w:r>
          </w:p>
        </w:tc>
        <w:tc>
          <w:tcPr>
            <w:tcW w:w="1660" w:type="dxa"/>
            <w:vAlign w:val="center"/>
          </w:tcPr>
          <w:p w14:paraId="533A94B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660" w:type="dxa"/>
            <w:vAlign w:val="center"/>
          </w:tcPr>
          <w:p w14:paraId="2C7F3F8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3等或N</w:t>
            </w:r>
          </w:p>
        </w:tc>
        <w:tc>
          <w:tcPr>
            <w:tcW w:w="1645" w:type="dxa"/>
            <w:vAlign w:val="center"/>
          </w:tcPr>
          <w:p w14:paraId="2C8348E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3等或N等</w:t>
            </w:r>
          </w:p>
        </w:tc>
      </w:tr>
    </w:tbl>
    <w:p w14:paraId="64DF76BB">
      <w:pPr>
        <w:pStyle w:val="24"/>
        <w:spacing w:line="240" w:lineRule="auto"/>
        <w:ind w:firstLine="420"/>
        <w:rPr>
          <w:color w:val="000000" w:themeColor="text1"/>
          <w:sz w:val="21"/>
        </w:rPr>
      </w:pPr>
      <w:r>
        <w:rPr>
          <w:color w:val="000000" w:themeColor="text1"/>
          <w:sz w:val="21"/>
        </w:rPr>
        <w:t>注：N为不适宜</w:t>
      </w:r>
    </w:p>
    <w:p w14:paraId="1A1DB126">
      <w:pPr>
        <w:pStyle w:val="178"/>
        <w:topLinePunct/>
        <w:rPr>
          <w:rFonts w:ascii="Times New Roman" w:hAnsi="Times New Roman" w:cs="Times New Roman"/>
          <w:color w:val="000000" w:themeColor="text1"/>
        </w:rPr>
      </w:pPr>
      <w:r>
        <w:rPr>
          <w:rFonts w:ascii="Times New Roman" w:hAnsi="Times New Roman" w:cs="Times New Roman"/>
          <w:color w:val="000000" w:themeColor="text1"/>
        </w:rPr>
        <w:t>5）土地复垦适宜性等级评定结果与分析</w:t>
      </w:r>
    </w:p>
    <w:p w14:paraId="745EE6F5">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在复垦区土地质量调查的基础上，将参评单元的土地质量与复垦土地主要限制因素的农林牧评价等级标准对比，若限制最大，适宜性等级最低的土地质量参评项目决定该单元的土地适宜等级。结果见表3-14-3-18。</w:t>
      </w:r>
    </w:p>
    <w:p w14:paraId="350FD364">
      <w:pPr>
        <w:pStyle w:val="182"/>
        <w:topLinePunct/>
        <w:ind w:firstLine="0" w:firstLineChars="0"/>
        <w:rPr>
          <w:rFonts w:ascii="Times New Roman" w:hAnsi="Times New Roman"/>
          <w:color w:val="000000" w:themeColor="text1"/>
        </w:rPr>
      </w:pPr>
      <w:r>
        <w:rPr>
          <w:rFonts w:ascii="Times New Roman" w:hAnsi="Times New Roman"/>
          <w:color w:val="000000" w:themeColor="text1"/>
        </w:rPr>
        <w:t>表3-14露天采场平台和底部合围区宜耕、宜林和宜草适宜性评价结果表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516"/>
        <w:gridCol w:w="1455"/>
        <w:gridCol w:w="1287"/>
        <w:gridCol w:w="1811"/>
        <w:gridCol w:w="2217"/>
      </w:tblGrid>
      <w:tr w14:paraId="0CA0C2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Align w:val="center"/>
          </w:tcPr>
          <w:p w14:paraId="4253E22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土地质量状况</w:t>
            </w:r>
          </w:p>
        </w:tc>
        <w:tc>
          <w:tcPr>
            <w:tcW w:w="1455" w:type="dxa"/>
            <w:vAlign w:val="center"/>
          </w:tcPr>
          <w:p w14:paraId="2BC44A8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评价类型</w:t>
            </w:r>
          </w:p>
        </w:tc>
        <w:tc>
          <w:tcPr>
            <w:tcW w:w="1287" w:type="dxa"/>
            <w:vAlign w:val="center"/>
          </w:tcPr>
          <w:p w14:paraId="2F3534A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适宜性</w:t>
            </w:r>
          </w:p>
        </w:tc>
        <w:tc>
          <w:tcPr>
            <w:tcW w:w="1811" w:type="dxa"/>
            <w:vAlign w:val="center"/>
          </w:tcPr>
          <w:p w14:paraId="0D34457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主要限制因子</w:t>
            </w:r>
          </w:p>
        </w:tc>
        <w:tc>
          <w:tcPr>
            <w:tcW w:w="2217" w:type="dxa"/>
            <w:vAlign w:val="center"/>
          </w:tcPr>
          <w:p w14:paraId="0757CB4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备注</w:t>
            </w:r>
          </w:p>
        </w:tc>
      </w:tr>
      <w:tr w14:paraId="705D958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restart"/>
            <w:vAlign w:val="center"/>
          </w:tcPr>
          <w:p w14:paraId="6F6F49F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地表物质组成为砾质，土源土壤有机质含量9g/kg，土源土壤质地为壤土，存储的土壤较少，只能满足部分复垦为耕地，剩余部分满足穴植需求。</w:t>
            </w:r>
          </w:p>
        </w:tc>
        <w:tc>
          <w:tcPr>
            <w:tcW w:w="1455" w:type="dxa"/>
            <w:vAlign w:val="center"/>
          </w:tcPr>
          <w:p w14:paraId="6B54491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耕地评价</w:t>
            </w:r>
          </w:p>
        </w:tc>
        <w:tc>
          <w:tcPr>
            <w:tcW w:w="1287" w:type="dxa"/>
            <w:vAlign w:val="center"/>
          </w:tcPr>
          <w:p w14:paraId="6247184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811" w:type="dxa"/>
            <w:vAlign w:val="center"/>
          </w:tcPr>
          <w:p w14:paraId="3337646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地表物质组成、土源保证率</w:t>
            </w:r>
          </w:p>
        </w:tc>
        <w:tc>
          <w:tcPr>
            <w:tcW w:w="2217" w:type="dxa"/>
            <w:vMerge w:val="restart"/>
            <w:vAlign w:val="center"/>
          </w:tcPr>
          <w:p w14:paraId="5275E8D4">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采用穴栽方式复垦为乔木林地</w:t>
            </w:r>
            <w:r>
              <w:rPr>
                <w:rFonts w:hint="eastAsia" w:ascii="Times New Roman" w:hAnsi="Times New Roman" w:cs="Times New Roman"/>
                <w:color w:val="000000" w:themeColor="text1"/>
                <w:kern w:val="0"/>
                <w:sz w:val="24"/>
                <w:szCs w:val="24"/>
                <w:lang w:val="en-US" w:eastAsia="zh-CN"/>
              </w:rPr>
              <w:t>12.18</w:t>
            </w:r>
            <w:r>
              <w:rPr>
                <w:rFonts w:ascii="Times New Roman" w:hAnsi="Times New Roman" w:cs="Times New Roman"/>
                <w:color w:val="000000" w:themeColor="text1"/>
                <w:kern w:val="0"/>
                <w:sz w:val="24"/>
                <w:szCs w:val="24"/>
              </w:rPr>
              <w:t>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p>
        </w:tc>
      </w:tr>
      <w:tr w14:paraId="7EC07A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67F2661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455" w:type="dxa"/>
            <w:vAlign w:val="center"/>
          </w:tcPr>
          <w:p w14:paraId="02BB4BD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林地评价</w:t>
            </w:r>
          </w:p>
        </w:tc>
        <w:tc>
          <w:tcPr>
            <w:tcW w:w="1287" w:type="dxa"/>
            <w:vAlign w:val="center"/>
          </w:tcPr>
          <w:p w14:paraId="5C43D50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w:t>
            </w:r>
          </w:p>
        </w:tc>
        <w:tc>
          <w:tcPr>
            <w:tcW w:w="1811" w:type="dxa"/>
            <w:vAlign w:val="center"/>
          </w:tcPr>
          <w:p w14:paraId="7D23193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地表物质组成、土源保证率</w:t>
            </w:r>
          </w:p>
        </w:tc>
        <w:tc>
          <w:tcPr>
            <w:tcW w:w="2217" w:type="dxa"/>
            <w:vMerge w:val="continue"/>
            <w:vAlign w:val="center"/>
          </w:tcPr>
          <w:p w14:paraId="46AF3E46">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7B723A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733FEA22">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455" w:type="dxa"/>
            <w:vAlign w:val="center"/>
          </w:tcPr>
          <w:p w14:paraId="2201D9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草地评价</w:t>
            </w:r>
          </w:p>
        </w:tc>
        <w:tc>
          <w:tcPr>
            <w:tcW w:w="1287" w:type="dxa"/>
            <w:vAlign w:val="center"/>
          </w:tcPr>
          <w:p w14:paraId="3065327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811" w:type="dxa"/>
            <w:vAlign w:val="center"/>
          </w:tcPr>
          <w:p w14:paraId="3CEBC10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地表物质组成、土源保证率</w:t>
            </w:r>
          </w:p>
        </w:tc>
        <w:tc>
          <w:tcPr>
            <w:tcW w:w="2217" w:type="dxa"/>
            <w:vMerge w:val="continue"/>
            <w:vAlign w:val="center"/>
          </w:tcPr>
          <w:p w14:paraId="1CE0B0B9">
            <w:pPr>
              <w:widowControl/>
              <w:topLinePunct/>
              <w:snapToGrid w:val="0"/>
              <w:spacing w:line="240" w:lineRule="auto"/>
              <w:jc w:val="center"/>
              <w:rPr>
                <w:rFonts w:ascii="Times New Roman" w:hAnsi="Times New Roman" w:cs="Times New Roman"/>
                <w:color w:val="000000" w:themeColor="text1"/>
                <w:kern w:val="0"/>
                <w:sz w:val="24"/>
                <w:szCs w:val="24"/>
              </w:rPr>
            </w:pPr>
          </w:p>
        </w:tc>
      </w:tr>
    </w:tbl>
    <w:p w14:paraId="57036CDF">
      <w:pPr>
        <w:pStyle w:val="182"/>
        <w:topLinePunct/>
        <w:ind w:firstLine="0" w:firstLineChars="0"/>
        <w:rPr>
          <w:rFonts w:ascii="Times New Roman" w:hAnsi="Times New Roman"/>
          <w:color w:val="000000" w:themeColor="text1"/>
        </w:rPr>
      </w:pPr>
      <w:r>
        <w:rPr>
          <w:rFonts w:ascii="Times New Roman" w:hAnsi="Times New Roman"/>
          <w:color w:val="000000" w:themeColor="text1"/>
        </w:rPr>
        <w:t>表1-15露天采场开采边坡宜耕、宜林和宜草适宜性评价结果表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516"/>
        <w:gridCol w:w="1455"/>
        <w:gridCol w:w="1287"/>
        <w:gridCol w:w="1811"/>
        <w:gridCol w:w="2217"/>
      </w:tblGrid>
      <w:tr w14:paraId="28AED77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Align w:val="center"/>
          </w:tcPr>
          <w:p w14:paraId="7694453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土地质量状况</w:t>
            </w:r>
          </w:p>
        </w:tc>
        <w:tc>
          <w:tcPr>
            <w:tcW w:w="1455" w:type="dxa"/>
            <w:vAlign w:val="center"/>
          </w:tcPr>
          <w:p w14:paraId="5C7618C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评价类型</w:t>
            </w:r>
          </w:p>
        </w:tc>
        <w:tc>
          <w:tcPr>
            <w:tcW w:w="1287" w:type="dxa"/>
            <w:vAlign w:val="center"/>
          </w:tcPr>
          <w:p w14:paraId="11A3B2B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适宜性</w:t>
            </w:r>
          </w:p>
        </w:tc>
        <w:tc>
          <w:tcPr>
            <w:tcW w:w="1811" w:type="dxa"/>
            <w:vAlign w:val="center"/>
          </w:tcPr>
          <w:p w14:paraId="12EA0D7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主要限制因子</w:t>
            </w:r>
          </w:p>
        </w:tc>
        <w:tc>
          <w:tcPr>
            <w:tcW w:w="2217" w:type="dxa"/>
            <w:vAlign w:val="center"/>
          </w:tcPr>
          <w:p w14:paraId="665FAE5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备注</w:t>
            </w:r>
          </w:p>
        </w:tc>
      </w:tr>
      <w:tr w14:paraId="1E2E4C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restart"/>
            <w:vAlign w:val="center"/>
          </w:tcPr>
          <w:p w14:paraId="218140C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地表物质组成为岩石，由于该区为边坡无法覆土。</w:t>
            </w:r>
          </w:p>
        </w:tc>
        <w:tc>
          <w:tcPr>
            <w:tcW w:w="1455" w:type="dxa"/>
            <w:vAlign w:val="center"/>
          </w:tcPr>
          <w:p w14:paraId="59013CD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耕地评价</w:t>
            </w:r>
          </w:p>
        </w:tc>
        <w:tc>
          <w:tcPr>
            <w:tcW w:w="1287" w:type="dxa"/>
            <w:vAlign w:val="center"/>
          </w:tcPr>
          <w:p w14:paraId="5227A7F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811" w:type="dxa"/>
            <w:vAlign w:val="center"/>
          </w:tcPr>
          <w:p w14:paraId="50F4DA6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地表物质组成、地面坡度</w:t>
            </w:r>
          </w:p>
        </w:tc>
        <w:tc>
          <w:tcPr>
            <w:tcW w:w="2217" w:type="dxa"/>
            <w:vMerge w:val="restart"/>
            <w:vAlign w:val="center"/>
          </w:tcPr>
          <w:p w14:paraId="1FA3AB6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无复垦为耕地林地草地条件</w:t>
            </w:r>
          </w:p>
        </w:tc>
      </w:tr>
      <w:tr w14:paraId="771A62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68A7A85B">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455" w:type="dxa"/>
            <w:vAlign w:val="center"/>
          </w:tcPr>
          <w:p w14:paraId="1D84183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林地评价</w:t>
            </w:r>
          </w:p>
        </w:tc>
        <w:tc>
          <w:tcPr>
            <w:tcW w:w="1287" w:type="dxa"/>
            <w:vAlign w:val="center"/>
          </w:tcPr>
          <w:p w14:paraId="1CCA8E06">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811" w:type="dxa"/>
            <w:vAlign w:val="center"/>
          </w:tcPr>
          <w:p w14:paraId="17C13D1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地表物质组成、地面坡度</w:t>
            </w:r>
          </w:p>
        </w:tc>
        <w:tc>
          <w:tcPr>
            <w:tcW w:w="2217" w:type="dxa"/>
            <w:vMerge w:val="continue"/>
            <w:vAlign w:val="center"/>
          </w:tcPr>
          <w:p w14:paraId="665CF86D">
            <w:pPr>
              <w:snapToGrid w:val="0"/>
              <w:jc w:val="center"/>
              <w:rPr>
                <w:rFonts w:ascii="Times New Roman" w:hAnsi="Times New Roman" w:eastAsia="仿宋_GB2312" w:cs="Times New Roman"/>
                <w:color w:val="000000" w:themeColor="text1"/>
                <w:lang w:val="en-GB"/>
              </w:rPr>
            </w:pPr>
          </w:p>
        </w:tc>
      </w:tr>
      <w:tr w14:paraId="7B2EE5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47C248D3">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455" w:type="dxa"/>
            <w:vAlign w:val="center"/>
          </w:tcPr>
          <w:p w14:paraId="16F4FCC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草地评价</w:t>
            </w:r>
          </w:p>
        </w:tc>
        <w:tc>
          <w:tcPr>
            <w:tcW w:w="1287" w:type="dxa"/>
            <w:vAlign w:val="center"/>
          </w:tcPr>
          <w:p w14:paraId="6202F5DA">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811" w:type="dxa"/>
            <w:vAlign w:val="center"/>
          </w:tcPr>
          <w:p w14:paraId="2DE295E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地表物质组成、地面坡度</w:t>
            </w:r>
          </w:p>
        </w:tc>
        <w:tc>
          <w:tcPr>
            <w:tcW w:w="2217" w:type="dxa"/>
            <w:vMerge w:val="continue"/>
            <w:vAlign w:val="center"/>
          </w:tcPr>
          <w:p w14:paraId="255BF221">
            <w:pPr>
              <w:snapToGrid w:val="0"/>
              <w:jc w:val="center"/>
              <w:rPr>
                <w:rFonts w:ascii="Times New Roman" w:hAnsi="Times New Roman" w:eastAsia="仿宋_GB2312" w:cs="Times New Roman"/>
                <w:color w:val="000000" w:themeColor="text1"/>
                <w:lang w:val="en-GB"/>
              </w:rPr>
            </w:pPr>
          </w:p>
        </w:tc>
      </w:tr>
    </w:tbl>
    <w:p w14:paraId="19D8C642">
      <w:pPr>
        <w:pStyle w:val="182"/>
        <w:topLinePunct/>
        <w:ind w:firstLine="0" w:firstLineChars="0"/>
        <w:rPr>
          <w:rFonts w:ascii="Times New Roman" w:hAnsi="Times New Roman"/>
          <w:color w:val="000000" w:themeColor="text1"/>
        </w:rPr>
      </w:pPr>
      <w:r>
        <w:rPr>
          <w:rFonts w:ascii="Times New Roman" w:hAnsi="Times New Roman"/>
          <w:color w:val="000000" w:themeColor="text1"/>
        </w:rPr>
        <w:t>表1-1</w:t>
      </w:r>
      <w:r>
        <w:rPr>
          <w:rFonts w:hint="eastAsia" w:ascii="Times New Roman" w:hAnsi="Times New Roman"/>
          <w:color w:val="000000" w:themeColor="text1"/>
        </w:rPr>
        <w:t xml:space="preserve">6 </w:t>
      </w:r>
      <w:r>
        <w:rPr>
          <w:rFonts w:ascii="Times New Roman" w:hAnsi="Times New Roman"/>
          <w:color w:val="000000" w:themeColor="text1"/>
        </w:rPr>
        <w:t>排土场宜耕、宜林和宜草适宜性评价结果表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516"/>
        <w:gridCol w:w="1455"/>
        <w:gridCol w:w="1287"/>
        <w:gridCol w:w="1811"/>
        <w:gridCol w:w="2217"/>
      </w:tblGrid>
      <w:tr w14:paraId="7B4F9B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Align w:val="center"/>
          </w:tcPr>
          <w:p w14:paraId="7546297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土地质量状况</w:t>
            </w:r>
          </w:p>
        </w:tc>
        <w:tc>
          <w:tcPr>
            <w:tcW w:w="1455" w:type="dxa"/>
            <w:vAlign w:val="center"/>
          </w:tcPr>
          <w:p w14:paraId="125E5C2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评价类型</w:t>
            </w:r>
          </w:p>
        </w:tc>
        <w:tc>
          <w:tcPr>
            <w:tcW w:w="1287" w:type="dxa"/>
            <w:vAlign w:val="center"/>
          </w:tcPr>
          <w:p w14:paraId="789C54E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适宜性</w:t>
            </w:r>
          </w:p>
        </w:tc>
        <w:tc>
          <w:tcPr>
            <w:tcW w:w="1811" w:type="dxa"/>
            <w:vAlign w:val="center"/>
          </w:tcPr>
          <w:p w14:paraId="11126EB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主要限制因子</w:t>
            </w:r>
          </w:p>
        </w:tc>
        <w:tc>
          <w:tcPr>
            <w:tcW w:w="2217" w:type="dxa"/>
            <w:vAlign w:val="center"/>
          </w:tcPr>
          <w:p w14:paraId="5475EBE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备注</w:t>
            </w:r>
          </w:p>
        </w:tc>
      </w:tr>
      <w:tr w14:paraId="25EFDB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restart"/>
            <w:vAlign w:val="center"/>
          </w:tcPr>
          <w:p w14:paraId="79774F1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地表物质组成为砾质，土源土壤有机质含量9g/kg，土源土壤质地为壤土，存储的土壤较少，只能满足穴植需求</w:t>
            </w:r>
          </w:p>
        </w:tc>
        <w:tc>
          <w:tcPr>
            <w:tcW w:w="1455" w:type="dxa"/>
            <w:vAlign w:val="center"/>
          </w:tcPr>
          <w:p w14:paraId="657F9D7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耕地评价</w:t>
            </w:r>
          </w:p>
        </w:tc>
        <w:tc>
          <w:tcPr>
            <w:tcW w:w="1287" w:type="dxa"/>
            <w:vAlign w:val="center"/>
          </w:tcPr>
          <w:p w14:paraId="1CD4E94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811" w:type="dxa"/>
            <w:vAlign w:val="center"/>
          </w:tcPr>
          <w:p w14:paraId="493B332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地表物质组成、土源保证率</w:t>
            </w:r>
          </w:p>
        </w:tc>
        <w:tc>
          <w:tcPr>
            <w:tcW w:w="2217" w:type="dxa"/>
            <w:vMerge w:val="restart"/>
            <w:vAlign w:val="center"/>
          </w:tcPr>
          <w:p w14:paraId="121B68BD">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采用穴栽方式复垦为乔木林地</w:t>
            </w:r>
            <w:r>
              <w:rPr>
                <w:rFonts w:hint="eastAsia" w:ascii="Times New Roman" w:hAnsi="Times New Roman" w:cs="Times New Roman"/>
                <w:color w:val="000000" w:themeColor="text1"/>
                <w:kern w:val="0"/>
                <w:sz w:val="24"/>
                <w:szCs w:val="24"/>
              </w:rPr>
              <w:t>0.36h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p>
        </w:tc>
      </w:tr>
      <w:tr w14:paraId="1E9227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019FD50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455" w:type="dxa"/>
            <w:vAlign w:val="center"/>
          </w:tcPr>
          <w:p w14:paraId="7ED62A7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林地评价</w:t>
            </w:r>
          </w:p>
        </w:tc>
        <w:tc>
          <w:tcPr>
            <w:tcW w:w="1287" w:type="dxa"/>
            <w:vAlign w:val="center"/>
          </w:tcPr>
          <w:p w14:paraId="176F106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w:t>
            </w:r>
          </w:p>
        </w:tc>
        <w:tc>
          <w:tcPr>
            <w:tcW w:w="1811" w:type="dxa"/>
            <w:vAlign w:val="center"/>
          </w:tcPr>
          <w:p w14:paraId="09AEDFA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地表物质组成、土源保证率</w:t>
            </w:r>
          </w:p>
        </w:tc>
        <w:tc>
          <w:tcPr>
            <w:tcW w:w="2217" w:type="dxa"/>
            <w:vMerge w:val="continue"/>
            <w:vAlign w:val="center"/>
          </w:tcPr>
          <w:p w14:paraId="63754124">
            <w:pPr>
              <w:snapToGrid w:val="0"/>
              <w:jc w:val="center"/>
              <w:rPr>
                <w:rFonts w:ascii="Times New Roman" w:hAnsi="Times New Roman" w:eastAsia="仿宋_GB2312" w:cs="Times New Roman"/>
                <w:color w:val="000000" w:themeColor="text1"/>
                <w:lang w:val="en-GB"/>
              </w:rPr>
            </w:pPr>
          </w:p>
        </w:tc>
      </w:tr>
      <w:tr w14:paraId="71DCD3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5ADB0E6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455" w:type="dxa"/>
            <w:vAlign w:val="center"/>
          </w:tcPr>
          <w:p w14:paraId="4A532C6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草地评价</w:t>
            </w:r>
          </w:p>
        </w:tc>
        <w:tc>
          <w:tcPr>
            <w:tcW w:w="1287" w:type="dxa"/>
            <w:vAlign w:val="center"/>
          </w:tcPr>
          <w:p w14:paraId="3EFB3C9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811" w:type="dxa"/>
            <w:vAlign w:val="center"/>
          </w:tcPr>
          <w:p w14:paraId="65BB84D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地表物质组成、土源保证率</w:t>
            </w:r>
          </w:p>
        </w:tc>
        <w:tc>
          <w:tcPr>
            <w:tcW w:w="2217" w:type="dxa"/>
            <w:vMerge w:val="continue"/>
            <w:vAlign w:val="center"/>
          </w:tcPr>
          <w:p w14:paraId="391840E6">
            <w:pPr>
              <w:snapToGrid w:val="0"/>
              <w:jc w:val="center"/>
              <w:rPr>
                <w:rFonts w:ascii="Times New Roman" w:hAnsi="Times New Roman" w:eastAsia="仿宋_GB2312" w:cs="Times New Roman"/>
                <w:color w:val="000000" w:themeColor="text1"/>
                <w:lang w:val="en-GB"/>
              </w:rPr>
            </w:pPr>
          </w:p>
        </w:tc>
      </w:tr>
    </w:tbl>
    <w:p w14:paraId="04688007">
      <w:pPr>
        <w:pStyle w:val="182"/>
        <w:topLinePunct/>
        <w:ind w:firstLine="0" w:firstLineChars="0"/>
        <w:rPr>
          <w:rFonts w:ascii="Times New Roman" w:hAnsi="Times New Roman"/>
          <w:color w:val="000000" w:themeColor="text1"/>
        </w:rPr>
      </w:pPr>
      <w:r>
        <w:rPr>
          <w:rFonts w:ascii="Times New Roman" w:hAnsi="Times New Roman"/>
          <w:color w:val="000000" w:themeColor="text1"/>
        </w:rPr>
        <w:t>表3-1</w:t>
      </w:r>
      <w:r>
        <w:rPr>
          <w:rFonts w:hint="eastAsia" w:ascii="Times New Roman" w:hAnsi="Times New Roman"/>
          <w:color w:val="000000" w:themeColor="text1"/>
        </w:rPr>
        <w:t>7</w:t>
      </w:r>
      <w:r>
        <w:rPr>
          <w:rFonts w:ascii="Times New Roman" w:hAnsi="Times New Roman"/>
          <w:color w:val="000000" w:themeColor="text1"/>
        </w:rPr>
        <w:t>各评价单元宜耕、宜林和宜草适宜性评价结果表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113"/>
        <w:gridCol w:w="2223"/>
        <w:gridCol w:w="1976"/>
        <w:gridCol w:w="1974"/>
      </w:tblGrid>
      <w:tr w14:paraId="2CC292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blHeader/>
        </w:trPr>
        <w:tc>
          <w:tcPr>
            <w:tcW w:w="3113" w:type="dxa"/>
            <w:vMerge w:val="restart"/>
            <w:vAlign w:val="center"/>
          </w:tcPr>
          <w:p w14:paraId="61C0BEB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评价单元</w:t>
            </w:r>
          </w:p>
        </w:tc>
        <w:tc>
          <w:tcPr>
            <w:tcW w:w="6173" w:type="dxa"/>
            <w:gridSpan w:val="3"/>
            <w:vAlign w:val="center"/>
          </w:tcPr>
          <w:p w14:paraId="6CF4719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适宜性等级</w:t>
            </w:r>
          </w:p>
        </w:tc>
      </w:tr>
      <w:tr w14:paraId="3F740C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blHeader/>
        </w:trPr>
        <w:tc>
          <w:tcPr>
            <w:tcW w:w="3113" w:type="dxa"/>
            <w:vMerge w:val="continue"/>
            <w:vAlign w:val="center"/>
          </w:tcPr>
          <w:p w14:paraId="3FC435B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223" w:type="dxa"/>
            <w:vAlign w:val="center"/>
          </w:tcPr>
          <w:p w14:paraId="5F4ADCB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耕地评价</w:t>
            </w:r>
          </w:p>
        </w:tc>
        <w:tc>
          <w:tcPr>
            <w:tcW w:w="1976" w:type="dxa"/>
            <w:vAlign w:val="center"/>
          </w:tcPr>
          <w:p w14:paraId="22069DB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林地评价</w:t>
            </w:r>
          </w:p>
        </w:tc>
        <w:tc>
          <w:tcPr>
            <w:tcW w:w="1974" w:type="dxa"/>
            <w:vAlign w:val="center"/>
          </w:tcPr>
          <w:p w14:paraId="17C045E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草地评价</w:t>
            </w:r>
          </w:p>
        </w:tc>
      </w:tr>
      <w:tr w14:paraId="6BBE9E8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113" w:type="dxa"/>
            <w:vAlign w:val="center"/>
          </w:tcPr>
          <w:p w14:paraId="3074360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露天采场平台和底部合围区</w:t>
            </w:r>
          </w:p>
        </w:tc>
        <w:tc>
          <w:tcPr>
            <w:tcW w:w="2223" w:type="dxa"/>
            <w:vAlign w:val="center"/>
          </w:tcPr>
          <w:p w14:paraId="5E3573D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976" w:type="dxa"/>
            <w:vAlign w:val="center"/>
          </w:tcPr>
          <w:p w14:paraId="02F02E4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w:t>
            </w:r>
          </w:p>
        </w:tc>
        <w:tc>
          <w:tcPr>
            <w:tcW w:w="1974" w:type="dxa"/>
            <w:vAlign w:val="center"/>
          </w:tcPr>
          <w:p w14:paraId="4108C25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r>
      <w:tr w14:paraId="185660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113" w:type="dxa"/>
            <w:vAlign w:val="center"/>
          </w:tcPr>
          <w:p w14:paraId="19D0BD0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露天采场边坡</w:t>
            </w:r>
          </w:p>
        </w:tc>
        <w:tc>
          <w:tcPr>
            <w:tcW w:w="2223" w:type="dxa"/>
            <w:vAlign w:val="center"/>
          </w:tcPr>
          <w:p w14:paraId="18EFA03E">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976" w:type="dxa"/>
            <w:vAlign w:val="center"/>
          </w:tcPr>
          <w:p w14:paraId="562E78EF">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974" w:type="dxa"/>
            <w:vAlign w:val="center"/>
          </w:tcPr>
          <w:p w14:paraId="0D743047">
            <w:pPr>
              <w:widowControl/>
              <w:topLinePunct/>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r>
      <w:tr w14:paraId="2EB89E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113" w:type="dxa"/>
            <w:vAlign w:val="center"/>
          </w:tcPr>
          <w:p w14:paraId="21ABF47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排土场</w:t>
            </w:r>
          </w:p>
        </w:tc>
        <w:tc>
          <w:tcPr>
            <w:tcW w:w="2223" w:type="dxa"/>
            <w:vAlign w:val="center"/>
          </w:tcPr>
          <w:p w14:paraId="60EC802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c>
          <w:tcPr>
            <w:tcW w:w="1976" w:type="dxa"/>
            <w:vAlign w:val="center"/>
          </w:tcPr>
          <w:p w14:paraId="5671CFF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w:t>
            </w:r>
          </w:p>
        </w:tc>
        <w:tc>
          <w:tcPr>
            <w:tcW w:w="1974" w:type="dxa"/>
            <w:vAlign w:val="center"/>
          </w:tcPr>
          <w:p w14:paraId="32E1C61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N</w:t>
            </w:r>
          </w:p>
        </w:tc>
      </w:tr>
    </w:tbl>
    <w:p w14:paraId="38F219F8">
      <w:pPr>
        <w:pStyle w:val="178"/>
        <w:topLinePunct/>
        <w:rPr>
          <w:rFonts w:ascii="Times New Roman" w:hAnsi="Times New Roman" w:cs="Times New Roman"/>
          <w:color w:val="000000" w:themeColor="text1"/>
        </w:rPr>
      </w:pPr>
      <w:r>
        <w:rPr>
          <w:rFonts w:ascii="Times New Roman" w:hAnsi="Times New Roman" w:cs="Times New Roman"/>
          <w:color w:val="000000" w:themeColor="text1"/>
        </w:rPr>
        <w:t>（6）待复垦土地适宜性评价结果及复垦方向确定</w:t>
      </w:r>
    </w:p>
    <w:p w14:paraId="3D7BC624">
      <w:pPr>
        <w:pStyle w:val="178"/>
        <w:topLinePunct/>
        <w:rPr>
          <w:rFonts w:ascii="Times New Roman" w:hAnsi="Times New Roman" w:cs="Times New Roman"/>
          <w:color w:val="000000" w:themeColor="text1"/>
        </w:rPr>
      </w:pPr>
      <w:r>
        <w:rPr>
          <w:rFonts w:ascii="Times New Roman" w:hAnsi="Times New Roman" w:cs="Times New Roman"/>
          <w:color w:val="000000" w:themeColor="text1"/>
        </w:rPr>
        <w:t>通过定性分析，待复垦土地存在多宜性，最终复垦方向的确定需要综合考虑多方面的因素，即综合考虑生态因素、政策因素和当地居民的建议，确定该矿山各评价单元最终复垦方向。最终复垦方向确定的优选依据如下：</w:t>
      </w:r>
    </w:p>
    <w:p w14:paraId="5349D65E">
      <w:pPr>
        <w:pStyle w:val="178"/>
        <w:topLinePunct/>
        <w:rPr>
          <w:rFonts w:ascii="Times New Roman" w:hAnsi="Times New Roman" w:cs="Times New Roman"/>
          <w:color w:val="000000" w:themeColor="text1"/>
        </w:rPr>
      </w:pPr>
      <w:r>
        <w:rPr>
          <w:rFonts w:ascii="Times New Roman" w:hAnsi="Times New Roman" w:cs="Times New Roman"/>
          <w:color w:val="000000" w:themeColor="text1"/>
        </w:rPr>
        <w:t>露天采场平台和底部合围区：适宜性评价结果显示，露天采场平台适宜2等林地，考虑到项目区周边主要为林地，以及“宜林则林”原则，本次方案确定将露天采场平台和底部合围区复垦为乔木林地。露天采场山坡露天部分排水均可通过山坡自流排出，无需任何排水设备，为防止地表径流水进入露天采坑，在最终开采境界外靠近山坡设截水沟，以防雨水进入。采矿场底部裂隙发育，现状采场水可以自然下沉或者自然排出。</w:t>
      </w:r>
    </w:p>
    <w:p w14:paraId="1DE2C0F1">
      <w:pPr>
        <w:pStyle w:val="178"/>
        <w:topLinePunct/>
        <w:rPr>
          <w:rFonts w:ascii="Times New Roman" w:hAnsi="Times New Roman" w:cs="Times New Roman"/>
          <w:color w:val="000000" w:themeColor="text1"/>
        </w:rPr>
      </w:pPr>
      <w:r>
        <w:rPr>
          <w:rFonts w:ascii="Times New Roman" w:hAnsi="Times New Roman" w:cs="Times New Roman"/>
          <w:color w:val="000000" w:themeColor="text1"/>
        </w:rPr>
        <w:t>露天采场开采边坡：适宜性评价结果显示，露天采场边坡适宜N等耕地，N等林地、N等草地复垦，不适宜复垦为耕地、林地及草地，</w:t>
      </w:r>
    </w:p>
    <w:p w14:paraId="11B095DD">
      <w:pPr>
        <w:pStyle w:val="178"/>
        <w:topLinePunct/>
        <w:rPr>
          <w:rFonts w:ascii="Times New Roman" w:hAnsi="Times New Roman" w:cs="Times New Roman"/>
          <w:color w:val="000000" w:themeColor="text1"/>
        </w:rPr>
      </w:pPr>
      <w:r>
        <w:rPr>
          <w:rFonts w:ascii="Times New Roman" w:hAnsi="Times New Roman" w:cs="Times New Roman"/>
          <w:color w:val="000000" w:themeColor="text1"/>
        </w:rPr>
        <w:t>排土场：适宜性评价结果显示，排土场适宜2等林地，考虑到项目区周边主要为林地，以及“宜林则林”原则，本次方案确定将排土场复垦为乔木林地。</w:t>
      </w:r>
    </w:p>
    <w:p w14:paraId="3F7E5FD1">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以上分析结果可知，露天采场平台和底部合围区复垦为乔木林地；排土场复垦为乔木林地。林间植被自然恢复。开采边坡覆土操作性差，不适宜复垦耕地、林地及草地，开采终了边坡角为60°，开采边坡稳定，对开采边坡进行监测。详见表3-1</w:t>
      </w:r>
      <w:r>
        <w:rPr>
          <w:rFonts w:hint="eastAsia" w:ascii="Times New Roman" w:hAnsi="Times New Roman" w:cs="Times New Roman"/>
          <w:color w:val="000000" w:themeColor="text1"/>
        </w:rPr>
        <w:t>8</w:t>
      </w:r>
      <w:r>
        <w:rPr>
          <w:rFonts w:ascii="Times New Roman" w:hAnsi="Times New Roman" w:cs="Times New Roman"/>
          <w:color w:val="000000" w:themeColor="text1"/>
        </w:rPr>
        <w:t>。</w:t>
      </w:r>
    </w:p>
    <w:p w14:paraId="2F56C73C">
      <w:pPr>
        <w:pStyle w:val="182"/>
        <w:topLinePunct/>
        <w:ind w:firstLine="0" w:firstLineChars="0"/>
        <w:rPr>
          <w:rFonts w:ascii="Times New Roman" w:hAnsi="Times New Roman"/>
          <w:color w:val="000000" w:themeColor="text1"/>
        </w:rPr>
      </w:pPr>
      <w:r>
        <w:rPr>
          <w:rFonts w:ascii="Times New Roman" w:hAnsi="Times New Roman"/>
          <w:color w:val="000000" w:themeColor="text1"/>
        </w:rPr>
        <w:t>表3-1</w:t>
      </w:r>
      <w:r>
        <w:rPr>
          <w:rFonts w:hint="eastAsia" w:ascii="Times New Roman" w:hAnsi="Times New Roman"/>
          <w:color w:val="000000" w:themeColor="text1"/>
        </w:rPr>
        <w:t>8</w:t>
      </w:r>
      <w:r>
        <w:rPr>
          <w:rFonts w:ascii="Times New Roman" w:hAnsi="Times New Roman"/>
          <w:color w:val="000000" w:themeColor="text1"/>
        </w:rPr>
        <w:t>复垦区土地复垦方向表</w:t>
      </w:r>
    </w:p>
    <w:tbl>
      <w:tblPr>
        <w:tblStyle w:val="42"/>
        <w:tblW w:w="5048"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883"/>
        <w:gridCol w:w="1272"/>
        <w:gridCol w:w="1857"/>
        <w:gridCol w:w="996"/>
        <w:gridCol w:w="1374"/>
        <w:gridCol w:w="1171"/>
        <w:gridCol w:w="1634"/>
      </w:tblGrid>
      <w:tr w14:paraId="1ACACB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blHeader/>
        </w:trPr>
        <w:tc>
          <w:tcPr>
            <w:tcW w:w="880" w:type="dxa"/>
            <w:vAlign w:val="center"/>
          </w:tcPr>
          <w:p w14:paraId="6A46E3F7">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复垦单元</w:t>
            </w:r>
          </w:p>
        </w:tc>
        <w:tc>
          <w:tcPr>
            <w:tcW w:w="1268" w:type="dxa"/>
            <w:tcBorders>
              <w:right w:val="single" w:color="000000" w:sz="4" w:space="0"/>
            </w:tcBorders>
            <w:vAlign w:val="center"/>
          </w:tcPr>
          <w:p w14:paraId="0ACC9E7D">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评价单元</w:t>
            </w:r>
          </w:p>
        </w:tc>
        <w:tc>
          <w:tcPr>
            <w:tcW w:w="1851" w:type="dxa"/>
            <w:tcBorders>
              <w:right w:val="single" w:color="000000" w:sz="4" w:space="0"/>
            </w:tcBorders>
            <w:vAlign w:val="center"/>
          </w:tcPr>
          <w:p w14:paraId="77B1A0E7">
            <w:pPr>
              <w:widowControl/>
              <w:topLinePunct/>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原有土地地类</w:t>
            </w:r>
          </w:p>
        </w:tc>
        <w:tc>
          <w:tcPr>
            <w:tcW w:w="993" w:type="dxa"/>
            <w:tcBorders>
              <w:right w:val="single" w:color="000000" w:sz="4" w:space="0"/>
            </w:tcBorders>
            <w:vAlign w:val="center"/>
          </w:tcPr>
          <w:p w14:paraId="63A40230">
            <w:pPr>
              <w:widowControl/>
              <w:topLinePunct/>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面积</w:t>
            </w:r>
          </w:p>
          <w:p w14:paraId="56F43208">
            <w:pPr>
              <w:widowControl/>
              <w:topLinePunct/>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（h</w:t>
            </w:r>
            <w:r>
              <w:rPr>
                <w:rFonts w:hint="eastAsia" w:ascii="Times New Roman" w:hAnsi="Times New Roman" w:cs="Times New Roman"/>
                <w:b/>
                <w:color w:val="000000" w:themeColor="text1"/>
                <w:kern w:val="0"/>
                <w:sz w:val="24"/>
                <w:szCs w:val="24"/>
                <w:lang w:eastAsia="zh-CN"/>
              </w:rPr>
              <w:t>m</w:t>
            </w:r>
            <w:r>
              <w:rPr>
                <w:rFonts w:hint="eastAsia" w:ascii="Times New Roman" w:hAnsi="Times New Roman" w:cs="Times New Roman"/>
                <w:b/>
                <w:strike w:val="0"/>
                <w:dstrike w:val="0"/>
                <w:color w:val="000000" w:themeColor="text1"/>
                <w:kern w:val="0"/>
                <w:sz w:val="24"/>
                <w:szCs w:val="24"/>
                <w:vertAlign w:val="superscript"/>
                <w:lang w:eastAsia="zh-CN"/>
              </w:rPr>
              <w:t>2</w:t>
            </w:r>
            <w:r>
              <w:rPr>
                <w:rFonts w:ascii="Times New Roman" w:hAnsi="Times New Roman" w:cs="Times New Roman"/>
                <w:b/>
                <w:color w:val="000000" w:themeColor="text1"/>
                <w:kern w:val="0"/>
                <w:sz w:val="24"/>
                <w:szCs w:val="24"/>
              </w:rPr>
              <w:t>）</w:t>
            </w:r>
          </w:p>
        </w:tc>
        <w:tc>
          <w:tcPr>
            <w:tcW w:w="1370" w:type="dxa"/>
            <w:vAlign w:val="center"/>
          </w:tcPr>
          <w:p w14:paraId="3CD50374">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复垦利用方向</w:t>
            </w:r>
          </w:p>
        </w:tc>
        <w:tc>
          <w:tcPr>
            <w:tcW w:w="1167" w:type="dxa"/>
            <w:tcBorders>
              <w:bottom w:val="single" w:color="auto" w:sz="4" w:space="0"/>
            </w:tcBorders>
            <w:vAlign w:val="center"/>
          </w:tcPr>
          <w:p w14:paraId="31283651">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复垦面积（h</w:t>
            </w:r>
            <w:r>
              <w:rPr>
                <w:rFonts w:hint="eastAsia" w:ascii="Times New Roman" w:hAnsi="Times New Roman" w:cs="Times New Roman"/>
                <w:b/>
                <w:color w:val="000000" w:themeColor="text1"/>
                <w:kern w:val="0"/>
                <w:sz w:val="24"/>
                <w:szCs w:val="24"/>
                <w:lang w:eastAsia="zh-CN"/>
              </w:rPr>
              <w:t>m</w:t>
            </w:r>
            <w:r>
              <w:rPr>
                <w:rFonts w:hint="eastAsia" w:ascii="Times New Roman" w:hAnsi="Times New Roman" w:cs="Times New Roman"/>
                <w:b/>
                <w:strike w:val="0"/>
                <w:dstrike w:val="0"/>
                <w:color w:val="000000" w:themeColor="text1"/>
                <w:kern w:val="0"/>
                <w:sz w:val="24"/>
                <w:szCs w:val="24"/>
                <w:vertAlign w:val="superscript"/>
                <w:lang w:eastAsia="zh-CN"/>
              </w:rPr>
              <w:t>2</w:t>
            </w:r>
            <w:r>
              <w:rPr>
                <w:rFonts w:ascii="Times New Roman" w:hAnsi="Times New Roman" w:cs="Times New Roman"/>
                <w:b/>
                <w:color w:val="000000" w:themeColor="text1"/>
                <w:kern w:val="0"/>
                <w:sz w:val="24"/>
                <w:szCs w:val="24"/>
              </w:rPr>
              <w:t>）</w:t>
            </w:r>
          </w:p>
        </w:tc>
        <w:tc>
          <w:tcPr>
            <w:tcW w:w="1629" w:type="dxa"/>
            <w:tcBorders>
              <w:bottom w:val="single" w:color="auto" w:sz="4" w:space="0"/>
            </w:tcBorders>
            <w:vAlign w:val="center"/>
          </w:tcPr>
          <w:p w14:paraId="1EC6810B">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备注</w:t>
            </w:r>
          </w:p>
        </w:tc>
      </w:tr>
      <w:tr w14:paraId="339B58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645" w:hRule="atLeast"/>
        </w:trPr>
        <w:tc>
          <w:tcPr>
            <w:tcW w:w="880" w:type="dxa"/>
            <w:vAlign w:val="center"/>
          </w:tcPr>
          <w:p w14:paraId="7F89B0D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复垦单元1</w:t>
            </w:r>
          </w:p>
        </w:tc>
        <w:tc>
          <w:tcPr>
            <w:tcW w:w="1268" w:type="dxa"/>
            <w:tcBorders>
              <w:right w:val="single" w:color="000000" w:sz="4" w:space="0"/>
            </w:tcBorders>
            <w:vAlign w:val="center"/>
          </w:tcPr>
          <w:p w14:paraId="03455D8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露天采场平台和底部合围区</w:t>
            </w:r>
          </w:p>
        </w:tc>
        <w:tc>
          <w:tcPr>
            <w:tcW w:w="1851" w:type="dxa"/>
            <w:tcBorders>
              <w:right w:val="single" w:color="000000" w:sz="4" w:space="0"/>
            </w:tcBorders>
            <w:vAlign w:val="center"/>
          </w:tcPr>
          <w:p w14:paraId="3126722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旱地、其他</w:t>
            </w:r>
            <w:r>
              <w:rPr>
                <w:rFonts w:hint="eastAsia" w:ascii="Times New Roman" w:hAnsi="Times New Roman" w:cs="Times New Roman"/>
                <w:color w:val="000000" w:themeColor="text1"/>
                <w:kern w:val="0"/>
                <w:sz w:val="24"/>
                <w:szCs w:val="24"/>
              </w:rPr>
              <w:t>草地</w:t>
            </w:r>
            <w:r>
              <w:rPr>
                <w:rFonts w:ascii="Times New Roman" w:hAnsi="Times New Roman" w:cs="Times New Roman"/>
                <w:color w:val="000000" w:themeColor="text1"/>
                <w:kern w:val="0"/>
                <w:sz w:val="24"/>
                <w:szCs w:val="24"/>
              </w:rPr>
              <w:t>、采矿用地</w:t>
            </w:r>
          </w:p>
        </w:tc>
        <w:tc>
          <w:tcPr>
            <w:tcW w:w="993" w:type="dxa"/>
            <w:tcBorders>
              <w:right w:val="single" w:color="000000" w:sz="4" w:space="0"/>
            </w:tcBorders>
            <w:vAlign w:val="center"/>
          </w:tcPr>
          <w:p w14:paraId="198B93F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12.18</w:t>
            </w:r>
          </w:p>
        </w:tc>
        <w:tc>
          <w:tcPr>
            <w:tcW w:w="1370" w:type="dxa"/>
            <w:tcBorders>
              <w:bottom w:val="single" w:color="auto" w:sz="4" w:space="0"/>
            </w:tcBorders>
            <w:vAlign w:val="center"/>
          </w:tcPr>
          <w:p w14:paraId="5B084CF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乔木林地</w:t>
            </w:r>
          </w:p>
        </w:tc>
        <w:tc>
          <w:tcPr>
            <w:tcW w:w="1167" w:type="dxa"/>
            <w:tcBorders>
              <w:bottom w:val="single" w:color="auto" w:sz="4" w:space="0"/>
            </w:tcBorders>
            <w:vAlign w:val="center"/>
          </w:tcPr>
          <w:p w14:paraId="71FF6B3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12.18</w:t>
            </w:r>
          </w:p>
        </w:tc>
        <w:tc>
          <w:tcPr>
            <w:tcW w:w="1629" w:type="dxa"/>
            <w:tcBorders>
              <w:bottom w:val="single" w:color="auto" w:sz="4" w:space="0"/>
            </w:tcBorders>
            <w:vAlign w:val="center"/>
          </w:tcPr>
          <w:p w14:paraId="113F01A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采用穴栽方式复垦乔木林地</w:t>
            </w:r>
          </w:p>
        </w:tc>
      </w:tr>
      <w:tr w14:paraId="6A4AE2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880" w:type="dxa"/>
            <w:vAlign w:val="center"/>
          </w:tcPr>
          <w:p w14:paraId="7CEC25D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复垦单元2</w:t>
            </w:r>
          </w:p>
        </w:tc>
        <w:tc>
          <w:tcPr>
            <w:tcW w:w="1268" w:type="dxa"/>
            <w:tcBorders>
              <w:right w:val="single" w:color="000000" w:sz="4" w:space="0"/>
            </w:tcBorders>
            <w:vAlign w:val="center"/>
          </w:tcPr>
          <w:p w14:paraId="6E634C7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露天采场开采边坡</w:t>
            </w:r>
          </w:p>
        </w:tc>
        <w:tc>
          <w:tcPr>
            <w:tcW w:w="1851" w:type="dxa"/>
            <w:tcBorders>
              <w:right w:val="single" w:color="000000" w:sz="4" w:space="0"/>
            </w:tcBorders>
            <w:vAlign w:val="center"/>
          </w:tcPr>
          <w:p w14:paraId="3DC1F7B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旱地、其他</w:t>
            </w:r>
            <w:r>
              <w:rPr>
                <w:rFonts w:hint="eastAsia" w:ascii="Times New Roman" w:hAnsi="Times New Roman" w:cs="Times New Roman"/>
                <w:color w:val="000000" w:themeColor="text1"/>
                <w:kern w:val="0"/>
                <w:sz w:val="24"/>
                <w:szCs w:val="24"/>
              </w:rPr>
              <w:t>草地</w:t>
            </w:r>
            <w:r>
              <w:rPr>
                <w:rFonts w:ascii="Times New Roman" w:hAnsi="Times New Roman" w:cs="Times New Roman"/>
                <w:color w:val="000000" w:themeColor="text1"/>
                <w:kern w:val="0"/>
                <w:sz w:val="24"/>
                <w:szCs w:val="24"/>
              </w:rPr>
              <w:t>、采矿用地</w:t>
            </w:r>
          </w:p>
        </w:tc>
        <w:tc>
          <w:tcPr>
            <w:tcW w:w="993" w:type="dxa"/>
            <w:tcBorders>
              <w:right w:val="single" w:color="000000" w:sz="4" w:space="0"/>
            </w:tcBorders>
            <w:vAlign w:val="center"/>
          </w:tcPr>
          <w:p w14:paraId="21BFB52B">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3.45</w:t>
            </w:r>
          </w:p>
        </w:tc>
        <w:tc>
          <w:tcPr>
            <w:tcW w:w="1370" w:type="dxa"/>
            <w:vAlign w:val="center"/>
          </w:tcPr>
          <w:p w14:paraId="5A45024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裸岩石砾地</w:t>
            </w:r>
          </w:p>
        </w:tc>
        <w:tc>
          <w:tcPr>
            <w:tcW w:w="1167" w:type="dxa"/>
            <w:shd w:val="clear" w:color="auto" w:fill="auto"/>
            <w:vAlign w:val="center"/>
          </w:tcPr>
          <w:p w14:paraId="7EA4840E">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3.45</w:t>
            </w:r>
          </w:p>
        </w:tc>
        <w:tc>
          <w:tcPr>
            <w:tcW w:w="1629" w:type="dxa"/>
            <w:vAlign w:val="center"/>
          </w:tcPr>
          <w:p w14:paraId="5F31A43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无复垦为耕地、林地、草地条件</w:t>
            </w:r>
          </w:p>
        </w:tc>
      </w:tr>
      <w:tr w14:paraId="711E1C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880" w:type="dxa"/>
            <w:vAlign w:val="center"/>
          </w:tcPr>
          <w:p w14:paraId="0AEC66D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复垦单元</w:t>
            </w:r>
            <w:r>
              <w:rPr>
                <w:rFonts w:hint="eastAsia" w:ascii="Times New Roman" w:hAnsi="Times New Roman" w:cs="Times New Roman"/>
                <w:color w:val="000000" w:themeColor="text1"/>
                <w:kern w:val="0"/>
                <w:sz w:val="24"/>
                <w:szCs w:val="24"/>
              </w:rPr>
              <w:t>3</w:t>
            </w:r>
          </w:p>
        </w:tc>
        <w:tc>
          <w:tcPr>
            <w:tcW w:w="1268" w:type="dxa"/>
            <w:tcBorders>
              <w:right w:val="single" w:color="000000" w:sz="4" w:space="0"/>
            </w:tcBorders>
            <w:vAlign w:val="center"/>
          </w:tcPr>
          <w:p w14:paraId="431AF29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排土场</w:t>
            </w:r>
          </w:p>
        </w:tc>
        <w:tc>
          <w:tcPr>
            <w:tcW w:w="1851" w:type="dxa"/>
            <w:tcBorders>
              <w:right w:val="single" w:color="000000" w:sz="4" w:space="0"/>
            </w:tcBorders>
            <w:vAlign w:val="center"/>
          </w:tcPr>
          <w:p w14:paraId="74A4071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采矿用地</w:t>
            </w:r>
          </w:p>
        </w:tc>
        <w:tc>
          <w:tcPr>
            <w:tcW w:w="993" w:type="dxa"/>
            <w:tcBorders>
              <w:right w:val="single" w:color="000000" w:sz="4" w:space="0"/>
            </w:tcBorders>
            <w:vAlign w:val="center"/>
          </w:tcPr>
          <w:p w14:paraId="24038E5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w:t>
            </w:r>
            <w:r>
              <w:rPr>
                <w:rFonts w:hint="eastAsia" w:ascii="Times New Roman" w:hAnsi="Times New Roman" w:cs="Times New Roman"/>
                <w:color w:val="000000" w:themeColor="text1"/>
                <w:kern w:val="0"/>
                <w:sz w:val="24"/>
                <w:szCs w:val="24"/>
              </w:rPr>
              <w:t>36</w:t>
            </w:r>
          </w:p>
        </w:tc>
        <w:tc>
          <w:tcPr>
            <w:tcW w:w="1370" w:type="dxa"/>
            <w:vAlign w:val="center"/>
          </w:tcPr>
          <w:p w14:paraId="6B7A26C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乔木林地</w:t>
            </w:r>
          </w:p>
        </w:tc>
        <w:tc>
          <w:tcPr>
            <w:tcW w:w="1167" w:type="dxa"/>
            <w:vAlign w:val="center"/>
          </w:tcPr>
          <w:p w14:paraId="53BD3E3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w:t>
            </w:r>
            <w:r>
              <w:rPr>
                <w:rFonts w:hint="eastAsia" w:ascii="Times New Roman" w:hAnsi="Times New Roman" w:cs="Times New Roman"/>
                <w:color w:val="000000" w:themeColor="text1"/>
                <w:kern w:val="0"/>
                <w:sz w:val="24"/>
                <w:szCs w:val="24"/>
              </w:rPr>
              <w:t>36</w:t>
            </w:r>
          </w:p>
        </w:tc>
        <w:tc>
          <w:tcPr>
            <w:tcW w:w="1629" w:type="dxa"/>
            <w:vAlign w:val="center"/>
          </w:tcPr>
          <w:p w14:paraId="32635EF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采用穴栽方式复垦乔木林地</w:t>
            </w:r>
          </w:p>
        </w:tc>
      </w:tr>
      <w:tr w14:paraId="38BC6B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2148" w:type="dxa"/>
            <w:gridSpan w:val="2"/>
            <w:tcBorders>
              <w:right w:val="single" w:color="000000" w:sz="4" w:space="0"/>
            </w:tcBorders>
            <w:vAlign w:val="center"/>
          </w:tcPr>
          <w:p w14:paraId="0044C1F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1851" w:type="dxa"/>
            <w:tcBorders>
              <w:left w:val="single" w:color="000000" w:sz="4" w:space="0"/>
              <w:right w:val="single" w:color="000000" w:sz="4" w:space="0"/>
            </w:tcBorders>
            <w:vAlign w:val="center"/>
          </w:tcPr>
          <w:p w14:paraId="344ECB3B">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993" w:type="dxa"/>
            <w:tcBorders>
              <w:left w:val="single" w:color="000000" w:sz="4" w:space="0"/>
              <w:right w:val="single" w:color="000000" w:sz="4" w:space="0"/>
            </w:tcBorders>
            <w:vAlign w:val="center"/>
          </w:tcPr>
          <w:p w14:paraId="66751B0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15.99</w:t>
            </w:r>
          </w:p>
        </w:tc>
        <w:tc>
          <w:tcPr>
            <w:tcW w:w="1370" w:type="dxa"/>
            <w:tcBorders>
              <w:left w:val="single" w:color="000000" w:sz="4" w:space="0"/>
            </w:tcBorders>
            <w:vAlign w:val="center"/>
          </w:tcPr>
          <w:p w14:paraId="1D4FB93C">
            <w:pPr>
              <w:widowControl/>
              <w:topLinePunct/>
              <w:spacing w:line="240" w:lineRule="auto"/>
              <w:jc w:val="center"/>
              <w:rPr>
                <w:rFonts w:ascii="Times New Roman" w:hAnsi="Times New Roman" w:cs="Times New Roman"/>
                <w:color w:val="000000" w:themeColor="text1"/>
                <w:kern w:val="0"/>
                <w:sz w:val="24"/>
                <w:szCs w:val="24"/>
              </w:rPr>
            </w:pPr>
          </w:p>
        </w:tc>
        <w:tc>
          <w:tcPr>
            <w:tcW w:w="1167" w:type="dxa"/>
            <w:vAlign w:val="center"/>
          </w:tcPr>
          <w:p w14:paraId="64F36EEB">
            <w:pPr>
              <w:widowControl/>
              <w:topLinePunct/>
              <w:snapToGrid w:val="0"/>
              <w:spacing w:line="240" w:lineRule="auto"/>
              <w:jc w:val="center"/>
              <w:rPr>
                <w:rFonts w:ascii="Times New Roman" w:hAnsi="Times New Roman" w:cs="Times New Roman"/>
                <w:color w:val="000000" w:themeColor="text1"/>
                <w:sz w:val="24"/>
                <w:szCs w:val="24"/>
              </w:rPr>
            </w:pPr>
            <w:r>
              <w:rPr>
                <w:rFonts w:hint="eastAsia" w:ascii="Times New Roman" w:hAnsi="Times New Roman" w:cs="Times New Roman"/>
                <w:color w:val="000000" w:themeColor="text1"/>
                <w:kern w:val="0"/>
                <w:sz w:val="24"/>
                <w:szCs w:val="24"/>
              </w:rPr>
              <w:t>15.99</w:t>
            </w:r>
          </w:p>
        </w:tc>
        <w:tc>
          <w:tcPr>
            <w:tcW w:w="1629" w:type="dxa"/>
            <w:vAlign w:val="center"/>
          </w:tcPr>
          <w:p w14:paraId="2E0FA66A">
            <w:pPr>
              <w:widowControl/>
              <w:topLinePunct/>
              <w:snapToGrid w:val="0"/>
              <w:spacing w:line="240" w:lineRule="auto"/>
              <w:jc w:val="center"/>
              <w:rPr>
                <w:rFonts w:ascii="Times New Roman" w:hAnsi="Times New Roman" w:cs="Times New Roman"/>
                <w:color w:val="000000" w:themeColor="text1"/>
                <w:kern w:val="0"/>
                <w:sz w:val="24"/>
                <w:szCs w:val="24"/>
              </w:rPr>
            </w:pPr>
          </w:p>
        </w:tc>
      </w:tr>
    </w:tbl>
    <w:p w14:paraId="2F70A086">
      <w:pPr>
        <w:pStyle w:val="178"/>
        <w:topLinePunct/>
        <w:rPr>
          <w:rFonts w:ascii="Times New Roman" w:hAnsi="Times New Roman" w:cs="Times New Roman"/>
          <w:color w:val="000000" w:themeColor="text1"/>
        </w:rPr>
      </w:pPr>
      <w:r>
        <w:rPr>
          <w:rFonts w:ascii="Times New Roman" w:hAnsi="Times New Roman" w:cs="Times New Roman"/>
          <w:color w:val="000000" w:themeColor="text1"/>
        </w:rPr>
        <w:t>（7）生态修复目标</w:t>
      </w:r>
    </w:p>
    <w:p w14:paraId="33D510C2">
      <w:pPr>
        <w:pStyle w:val="178"/>
        <w:topLinePunct/>
        <w:rPr>
          <w:rFonts w:ascii="Times New Roman" w:hAnsi="Times New Roman" w:cs="Times New Roman"/>
          <w:color w:val="000000" w:themeColor="text1"/>
        </w:rPr>
      </w:pPr>
      <w:r>
        <w:rPr>
          <w:rFonts w:ascii="Times New Roman" w:hAnsi="Times New Roman" w:cs="Times New Roman"/>
          <w:color w:val="000000" w:themeColor="text1"/>
        </w:rPr>
        <w:t>生态修复目标标准依据《土地复垦质量控制标准》，结合实际情况，针对各复垦单元复垦方向为乔木林地，对应生态系统为森林生态系统，制定以下生态系统和地类的复垦标准：</w:t>
      </w:r>
    </w:p>
    <w:p w14:paraId="3737AD5F">
      <w:pPr>
        <w:pStyle w:val="178"/>
        <w:topLinePunct/>
        <w:rPr>
          <w:rFonts w:ascii="Times New Roman" w:hAnsi="Times New Roman" w:cs="Times New Roman"/>
          <w:color w:val="000000" w:themeColor="text1"/>
        </w:rPr>
      </w:pPr>
      <w:r>
        <w:rPr>
          <w:rFonts w:ascii="Times New Roman" w:hAnsi="Times New Roman" w:cs="Times New Roman"/>
          <w:color w:val="000000" w:themeColor="text1"/>
        </w:rPr>
        <w:t>1）乔木林地复垦标准：</w:t>
      </w:r>
    </w:p>
    <w:p w14:paraId="5BFE99EA">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有效土层厚度≥30cm；</w:t>
      </w:r>
    </w:p>
    <w:p w14:paraId="503D4068">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土壤容重≤1.35g/c</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 xml:space="preserve">； </w:t>
      </w:r>
    </w:p>
    <w:p w14:paraId="05DACCC7">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土壤质地：砂土至砂质粘土；</w:t>
      </w:r>
    </w:p>
    <w:p w14:paraId="5DC559C7">
      <w:pPr>
        <w:pStyle w:val="178"/>
        <w:topLinePunct/>
        <w:rPr>
          <w:rFonts w:ascii="Times New Roman" w:hAnsi="Times New Roman" w:cs="Times New Roman"/>
          <w:color w:val="000000" w:themeColor="text1"/>
        </w:rPr>
      </w:pPr>
      <w:r>
        <w:rPr>
          <w:rFonts w:ascii="Times New Roman" w:hAnsi="Times New Roman" w:cs="Times New Roman"/>
          <w:color w:val="000000" w:themeColor="text1"/>
        </w:rPr>
        <w:t>砾石含量≤20%</w:t>
      </w:r>
    </w:p>
    <w:p w14:paraId="38A417E5">
      <w:pPr>
        <w:pStyle w:val="178"/>
        <w:topLinePunct/>
        <w:rPr>
          <w:rFonts w:ascii="Times New Roman" w:hAnsi="Times New Roman" w:cs="Times New Roman"/>
          <w:color w:val="000000" w:themeColor="text1"/>
        </w:rPr>
      </w:pPr>
      <w:r>
        <w:rPr>
          <w:rFonts w:ascii="Times New Roman" w:hAnsi="Times New Roman" w:cs="Times New Roman"/>
          <w:color w:val="000000" w:themeColor="text1"/>
        </w:rPr>
        <w:t>pH值：6.0~8.5；</w:t>
      </w:r>
    </w:p>
    <w:p w14:paraId="57B46E46">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有机质含量≥2%；</w:t>
      </w:r>
    </w:p>
    <w:p w14:paraId="5FFEDCDB">
      <w:pPr>
        <w:pStyle w:val="178"/>
        <w:topLinePunct/>
        <w:rPr>
          <w:rFonts w:ascii="Times New Roman" w:hAnsi="Times New Roman" w:cs="Times New Roman"/>
          <w:color w:val="000000" w:themeColor="text1"/>
        </w:rPr>
      </w:pPr>
      <w:r>
        <w:rPr>
          <w:rFonts w:ascii="Times New Roman" w:hAnsi="Times New Roman" w:cs="Times New Roman"/>
          <w:color w:val="000000" w:themeColor="text1"/>
        </w:rPr>
        <w:t>配套设施：达到当地本行业工程建设标准要求；</w:t>
      </w:r>
    </w:p>
    <w:p w14:paraId="7AE044DC">
      <w:pPr>
        <w:pStyle w:val="178"/>
        <w:topLinePunct/>
        <w:rPr>
          <w:rFonts w:ascii="Times New Roman" w:hAnsi="Times New Roman" w:cs="Times New Roman"/>
          <w:color w:val="000000" w:themeColor="text1"/>
        </w:rPr>
      </w:pPr>
      <w:r>
        <w:rPr>
          <w:rFonts w:ascii="Times New Roman" w:hAnsi="Times New Roman" w:cs="Times New Roman"/>
          <w:color w:val="000000" w:themeColor="text1"/>
        </w:rPr>
        <w:t>生产力水平：定植密度：满足《造林作业设计规程》LY/T 1607要求；郁闭度≥0.30。</w:t>
      </w:r>
    </w:p>
    <w:p w14:paraId="359F3D05">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（三）边开采、边修复可行性分析</w:t>
      </w:r>
    </w:p>
    <w:p w14:paraId="0EFC6869">
      <w:pPr>
        <w:pStyle w:val="178"/>
        <w:topLinePunct/>
        <w:rPr>
          <w:rFonts w:ascii="Times New Roman" w:hAnsi="Times New Roman" w:cs="Times New Roman"/>
          <w:color w:val="000000" w:themeColor="text1"/>
        </w:rPr>
      </w:pPr>
      <w:r>
        <w:rPr>
          <w:rFonts w:ascii="Times New Roman" w:hAnsi="Times New Roman" w:cs="Times New Roman"/>
          <w:color w:val="000000" w:themeColor="text1"/>
        </w:rPr>
        <w:t>基于矿山开采设计、工艺流程和生态问题识别预测结果，对"边开采、边修复"实施模式的可行性进行深入分析。从开采工艺条件来看，露天开采方式为分区修复提供了空间基础，"由南向北水平推进"的开采顺序有利于修复工作的时序安排，开采工艺的机械化程度高，便于与修复工程协调推进。空间条件方面，矿区面积适中，总规模</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便于实施分区管理；开采区与修复区可以通过设立缓冲带实现有效隔离，避免相互干扰。时间衔接方面，开采周期与修复周期能够实现良好匹配，已开采区域可以及时移交进行修复工程，实现"采完一块、修复一块"的流水作业。组织管理方面，可以建立专门的管理协调机制，确保开采与修复工作的有序衔接。技术支持方面，修复所需的各项技术措施成熟可靠，本地具备相应的技术服务和施工力量。综合以上因素，矿区完全具备实施"边开采、边修复"的条件，这种模式不仅符合矿产资源开发与生态环境保护相协调的原则，也能有效提高修复效果，降低修复成本。</w:t>
      </w:r>
    </w:p>
    <w:p w14:paraId="6730298D">
      <w:pPr>
        <w:pStyle w:val="174"/>
        <w:topLinePunct/>
        <w:rPr>
          <w:rFonts w:ascii="Times New Roman" w:hAnsi="Times New Roman" w:cs="Times New Roman"/>
          <w:color w:val="000000" w:themeColor="text1"/>
        </w:rPr>
      </w:pPr>
      <w:bookmarkStart w:id="27" w:name="_Toc23637"/>
      <w:r>
        <w:rPr>
          <w:rFonts w:ascii="Times New Roman" w:hAnsi="Times New Roman" w:cs="Times New Roman"/>
          <w:color w:val="000000" w:themeColor="text1"/>
        </w:rPr>
        <w:t>三、生态修复分区及修复时序安排</w:t>
      </w:r>
      <w:bookmarkEnd w:id="27"/>
    </w:p>
    <w:p w14:paraId="519572DD">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根据项目生态修复单元确定分区，生态修复单元为</w:t>
      </w:r>
      <w:r>
        <w:rPr>
          <w:rFonts w:ascii="Times New Roman" w:hAnsi="Times New Roman" w:cs="Times New Roman"/>
          <w:color w:val="000000" w:themeColor="text1"/>
          <w:spacing w:val="-5"/>
        </w:rPr>
        <w:t>露天采场平台和底部合围区及排土场</w:t>
      </w:r>
      <w:r>
        <w:rPr>
          <w:rFonts w:ascii="Times New Roman" w:hAnsi="Times New Roman" w:cs="Times New Roman"/>
          <w:color w:val="000000" w:themeColor="text1"/>
        </w:rPr>
        <w:t>。其拐点坐标见下表：</w:t>
      </w:r>
    </w:p>
    <w:p w14:paraId="4BB0BC1A">
      <w:pPr>
        <w:pStyle w:val="182"/>
        <w:topLinePunct/>
        <w:rPr>
          <w:rFonts w:ascii="Times New Roman" w:hAnsi="Times New Roman"/>
          <w:color w:val="000000" w:themeColor="text1"/>
        </w:rPr>
      </w:pPr>
      <w:r>
        <w:rPr>
          <w:rFonts w:ascii="Times New Roman" w:hAnsi="Times New Roman"/>
          <w:color w:val="000000" w:themeColor="text1"/>
        </w:rPr>
        <w:t>表3-1</w:t>
      </w:r>
      <w:r>
        <w:rPr>
          <w:rFonts w:hint="eastAsia" w:ascii="Times New Roman" w:hAnsi="Times New Roman"/>
          <w:color w:val="000000" w:themeColor="text1"/>
        </w:rPr>
        <w:t>9</w:t>
      </w:r>
      <w:r>
        <w:rPr>
          <w:rFonts w:ascii="Times New Roman" w:hAnsi="Times New Roman"/>
          <w:color w:val="000000" w:themeColor="text1"/>
        </w:rPr>
        <w:t>矿区生态修复分区拐点坐标表</w:t>
      </w:r>
    </w:p>
    <w:tbl>
      <w:tblPr>
        <w:tblStyle w:val="185"/>
        <w:tblW w:w="5028" w:type="pct"/>
        <w:tblInd w:w="0" w:type="dxa"/>
        <w:tblLayout w:type="fixed"/>
        <w:tblCellMar>
          <w:top w:w="11" w:type="dxa"/>
          <w:left w:w="11" w:type="dxa"/>
          <w:bottom w:w="11" w:type="dxa"/>
          <w:right w:w="11" w:type="dxa"/>
        </w:tblCellMar>
      </w:tblPr>
      <w:tblGrid>
        <w:gridCol w:w="1810"/>
        <w:gridCol w:w="1588"/>
        <w:gridCol w:w="2685"/>
        <w:gridCol w:w="3068"/>
      </w:tblGrid>
      <w:tr w14:paraId="46420A48">
        <w:tblPrEx>
          <w:tblCellMar>
            <w:top w:w="11" w:type="dxa"/>
            <w:left w:w="11" w:type="dxa"/>
            <w:bottom w:w="11" w:type="dxa"/>
            <w:right w:w="11" w:type="dxa"/>
          </w:tblCellMar>
        </w:tblPrEx>
        <w:trPr>
          <w:trHeight w:val="20" w:hRule="atLeast"/>
          <w:tblHeader/>
        </w:trPr>
        <w:tc>
          <w:tcPr>
            <w:tcW w:w="1808" w:type="dxa"/>
            <w:vMerge w:val="restart"/>
            <w:tcBorders>
              <w:top w:val="single" w:color="000000" w:sz="12" w:space="0"/>
              <w:left w:val="single" w:color="000000" w:sz="12" w:space="0"/>
              <w:right w:val="single" w:color="000000" w:sz="4" w:space="0"/>
            </w:tcBorders>
            <w:vAlign w:val="center"/>
          </w:tcPr>
          <w:p w14:paraId="29FCE678">
            <w:pPr>
              <w:widowControl/>
              <w:topLinePunct/>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复垦修复单元</w:t>
            </w:r>
          </w:p>
        </w:tc>
        <w:tc>
          <w:tcPr>
            <w:tcW w:w="1587" w:type="dxa"/>
            <w:vMerge w:val="restart"/>
            <w:tcBorders>
              <w:top w:val="single" w:color="000000" w:sz="12" w:space="0"/>
              <w:left w:val="single" w:color="000000" w:sz="4" w:space="0"/>
              <w:right w:val="single" w:color="000000" w:sz="4" w:space="0"/>
            </w:tcBorders>
            <w:vAlign w:val="center"/>
          </w:tcPr>
          <w:p w14:paraId="1A92EF41">
            <w:pPr>
              <w:widowControl/>
              <w:topLinePunct/>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拐点编号</w:t>
            </w:r>
          </w:p>
        </w:tc>
        <w:tc>
          <w:tcPr>
            <w:tcW w:w="5749" w:type="dxa"/>
            <w:gridSpan w:val="2"/>
            <w:tcBorders>
              <w:top w:val="single" w:color="000000" w:sz="12" w:space="0"/>
              <w:left w:val="single" w:color="000000" w:sz="4" w:space="0"/>
              <w:bottom w:val="single" w:color="000000" w:sz="4" w:space="0"/>
              <w:right w:val="single" w:color="000000" w:sz="12" w:space="0"/>
            </w:tcBorders>
            <w:vAlign w:val="center"/>
          </w:tcPr>
          <w:p w14:paraId="75F824A9">
            <w:pPr>
              <w:widowControl/>
              <w:topLinePunct/>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2000国家大地坐标系</w:t>
            </w:r>
          </w:p>
        </w:tc>
      </w:tr>
      <w:tr w14:paraId="1E21C673">
        <w:tblPrEx>
          <w:tblCellMar>
            <w:top w:w="11" w:type="dxa"/>
            <w:left w:w="11" w:type="dxa"/>
            <w:bottom w:w="11" w:type="dxa"/>
            <w:right w:w="11" w:type="dxa"/>
          </w:tblCellMar>
        </w:tblPrEx>
        <w:trPr>
          <w:trHeight w:val="20" w:hRule="atLeast"/>
          <w:tblHeader/>
        </w:trPr>
        <w:tc>
          <w:tcPr>
            <w:tcW w:w="1808" w:type="dxa"/>
            <w:vMerge w:val="continue"/>
            <w:tcBorders>
              <w:left w:val="single" w:color="000000" w:sz="12" w:space="0"/>
              <w:bottom w:val="single" w:color="000000" w:sz="4" w:space="0"/>
              <w:right w:val="single" w:color="000000" w:sz="4" w:space="0"/>
            </w:tcBorders>
            <w:vAlign w:val="center"/>
          </w:tcPr>
          <w:p w14:paraId="676693D8">
            <w:pPr>
              <w:widowControl/>
              <w:topLinePunct/>
              <w:snapToGrid w:val="0"/>
              <w:spacing w:line="240" w:lineRule="auto"/>
              <w:jc w:val="center"/>
              <w:rPr>
                <w:rFonts w:ascii="Times New Roman" w:hAnsi="Times New Roman" w:cs="Times New Roman" w:eastAsiaTheme="minorEastAsia"/>
                <w:b/>
                <w:color w:val="000000" w:themeColor="text1"/>
                <w:kern w:val="0"/>
                <w:sz w:val="24"/>
                <w:szCs w:val="24"/>
                <w:lang w:eastAsia="en-US"/>
              </w:rPr>
            </w:pPr>
          </w:p>
        </w:tc>
        <w:tc>
          <w:tcPr>
            <w:tcW w:w="1587" w:type="dxa"/>
            <w:vMerge w:val="continue"/>
            <w:tcBorders>
              <w:left w:val="single" w:color="000000" w:sz="4" w:space="0"/>
              <w:bottom w:val="single" w:color="000000" w:sz="4" w:space="0"/>
              <w:right w:val="single" w:color="000000" w:sz="4" w:space="0"/>
            </w:tcBorders>
            <w:vAlign w:val="center"/>
          </w:tcPr>
          <w:p w14:paraId="1858809D">
            <w:pPr>
              <w:widowControl/>
              <w:topLinePunct/>
              <w:snapToGrid w:val="0"/>
              <w:spacing w:line="240" w:lineRule="auto"/>
              <w:jc w:val="center"/>
              <w:rPr>
                <w:rFonts w:ascii="Times New Roman" w:hAnsi="Times New Roman" w:cs="Times New Roman" w:eastAsiaTheme="minorEastAsia"/>
                <w:b/>
                <w:color w:val="000000" w:themeColor="text1"/>
                <w:kern w:val="0"/>
                <w:sz w:val="24"/>
                <w:szCs w:val="24"/>
                <w:lang w:eastAsia="en-US"/>
              </w:rPr>
            </w:pPr>
          </w:p>
        </w:tc>
        <w:tc>
          <w:tcPr>
            <w:tcW w:w="2683" w:type="dxa"/>
            <w:tcBorders>
              <w:top w:val="single" w:color="000000" w:sz="4" w:space="0"/>
              <w:left w:val="single" w:color="000000" w:sz="4" w:space="0"/>
              <w:bottom w:val="single" w:color="000000" w:sz="4" w:space="0"/>
              <w:right w:val="single" w:color="000000" w:sz="4" w:space="0"/>
            </w:tcBorders>
            <w:vAlign w:val="center"/>
          </w:tcPr>
          <w:p w14:paraId="36D57D2C">
            <w:pPr>
              <w:pStyle w:val="156"/>
              <w:widowControl/>
              <w:topLinePunct/>
              <w:snapToGrid w:val="0"/>
              <w:spacing w:line="241" w:lineRule="exact"/>
              <w:ind w:right="1"/>
              <w:jc w:val="center"/>
              <w:rPr>
                <w:rFonts w:eastAsiaTheme="minorEastAsia"/>
                <w:b/>
                <w:color w:val="000000" w:themeColor="text1"/>
                <w:lang w:eastAsia="en-US"/>
              </w:rPr>
            </w:pPr>
            <w:r>
              <w:rPr>
                <w:rFonts w:eastAsiaTheme="minorEastAsia"/>
                <w:b/>
                <w:color w:val="000000" w:themeColor="text1"/>
                <w:lang w:eastAsia="en-US"/>
              </w:rPr>
              <w:t>X</w:t>
            </w:r>
          </w:p>
        </w:tc>
        <w:tc>
          <w:tcPr>
            <w:tcW w:w="3066" w:type="dxa"/>
            <w:tcBorders>
              <w:top w:val="single" w:color="000000" w:sz="4" w:space="0"/>
              <w:left w:val="single" w:color="000000" w:sz="4" w:space="0"/>
              <w:bottom w:val="single" w:color="000000" w:sz="4" w:space="0"/>
              <w:right w:val="single" w:color="000000" w:sz="12" w:space="0"/>
            </w:tcBorders>
            <w:vAlign w:val="center"/>
          </w:tcPr>
          <w:p w14:paraId="4159DA9C">
            <w:pPr>
              <w:pStyle w:val="156"/>
              <w:widowControl/>
              <w:topLinePunct/>
              <w:snapToGrid w:val="0"/>
              <w:spacing w:line="241" w:lineRule="exact"/>
              <w:ind w:left="9"/>
              <w:jc w:val="center"/>
              <w:rPr>
                <w:rFonts w:eastAsiaTheme="minorEastAsia"/>
                <w:b/>
                <w:color w:val="000000" w:themeColor="text1"/>
                <w:lang w:eastAsia="en-US"/>
              </w:rPr>
            </w:pPr>
            <w:r>
              <w:rPr>
                <w:rFonts w:eastAsiaTheme="minorEastAsia"/>
                <w:b/>
                <w:color w:val="000000" w:themeColor="text1"/>
                <w:lang w:eastAsia="en-US"/>
              </w:rPr>
              <w:t>Y</w:t>
            </w:r>
          </w:p>
        </w:tc>
      </w:tr>
      <w:tr w14:paraId="184DC02E">
        <w:tblPrEx>
          <w:tblCellMar>
            <w:top w:w="11" w:type="dxa"/>
            <w:left w:w="11" w:type="dxa"/>
            <w:bottom w:w="11" w:type="dxa"/>
            <w:right w:w="11" w:type="dxa"/>
          </w:tblCellMar>
        </w:tblPrEx>
        <w:trPr>
          <w:trHeight w:val="20" w:hRule="atLeast"/>
        </w:trPr>
        <w:tc>
          <w:tcPr>
            <w:tcW w:w="1808" w:type="dxa"/>
            <w:vMerge w:val="restart"/>
            <w:tcBorders>
              <w:top w:val="single" w:color="000000" w:sz="4" w:space="0"/>
              <w:left w:val="single" w:color="000000" w:sz="12" w:space="0"/>
              <w:right w:val="single" w:color="000000" w:sz="4" w:space="0"/>
            </w:tcBorders>
            <w:vAlign w:val="center"/>
          </w:tcPr>
          <w:p w14:paraId="7A81C0C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露天采场平台和底部合围区</w:t>
            </w:r>
          </w:p>
        </w:tc>
        <w:tc>
          <w:tcPr>
            <w:tcW w:w="7336" w:type="dxa"/>
            <w:gridSpan w:val="3"/>
            <w:tcBorders>
              <w:top w:val="single" w:color="000000" w:sz="4" w:space="0"/>
              <w:left w:val="single" w:color="000000" w:sz="4" w:space="0"/>
              <w:bottom w:val="single" w:color="000000" w:sz="4" w:space="0"/>
              <w:right w:val="single" w:color="000000" w:sz="12" w:space="0"/>
            </w:tcBorders>
            <w:vAlign w:val="center"/>
          </w:tcPr>
          <w:p w14:paraId="5ADA25A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露天采场底部合围区</w:t>
            </w:r>
          </w:p>
        </w:tc>
      </w:tr>
      <w:tr w14:paraId="7F2B002F">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3B59F3F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038E89C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w:t>
            </w:r>
          </w:p>
        </w:tc>
        <w:tc>
          <w:tcPr>
            <w:tcW w:w="2683" w:type="dxa"/>
            <w:tcBorders>
              <w:top w:val="single" w:color="000000" w:sz="4" w:space="0"/>
              <w:left w:val="single" w:color="000000" w:sz="4" w:space="0"/>
              <w:bottom w:val="single" w:color="000000" w:sz="4" w:space="0"/>
              <w:right w:val="single" w:color="000000" w:sz="4" w:space="0"/>
            </w:tcBorders>
            <w:vAlign w:val="center"/>
          </w:tcPr>
          <w:p w14:paraId="469E0A4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5024890.997 </w:t>
            </w:r>
          </w:p>
        </w:tc>
        <w:tc>
          <w:tcPr>
            <w:tcW w:w="3066" w:type="dxa"/>
            <w:tcBorders>
              <w:top w:val="single" w:color="000000" w:sz="4" w:space="0"/>
              <w:left w:val="single" w:color="000000" w:sz="4" w:space="0"/>
              <w:bottom w:val="single" w:color="000000" w:sz="4" w:space="0"/>
              <w:right w:val="single" w:color="000000" w:sz="12" w:space="0"/>
            </w:tcBorders>
            <w:vAlign w:val="center"/>
          </w:tcPr>
          <w:p w14:paraId="1F6FCE3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44456229.922 </w:t>
            </w:r>
          </w:p>
        </w:tc>
      </w:tr>
      <w:tr w14:paraId="46589AAC">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798251F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284A5BF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w:t>
            </w:r>
          </w:p>
        </w:tc>
        <w:tc>
          <w:tcPr>
            <w:tcW w:w="2683" w:type="dxa"/>
            <w:tcBorders>
              <w:top w:val="single" w:color="000000" w:sz="4" w:space="0"/>
              <w:left w:val="single" w:color="000000" w:sz="4" w:space="0"/>
              <w:bottom w:val="single" w:color="000000" w:sz="4" w:space="0"/>
              <w:right w:val="single" w:color="000000" w:sz="4" w:space="0"/>
            </w:tcBorders>
            <w:vAlign w:val="center"/>
          </w:tcPr>
          <w:p w14:paraId="6D5E925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5024976.329 </w:t>
            </w:r>
          </w:p>
        </w:tc>
        <w:tc>
          <w:tcPr>
            <w:tcW w:w="3066" w:type="dxa"/>
            <w:tcBorders>
              <w:top w:val="single" w:color="000000" w:sz="4" w:space="0"/>
              <w:left w:val="single" w:color="000000" w:sz="4" w:space="0"/>
              <w:bottom w:val="single" w:color="000000" w:sz="4" w:space="0"/>
              <w:right w:val="single" w:color="000000" w:sz="12" w:space="0"/>
            </w:tcBorders>
            <w:vAlign w:val="center"/>
          </w:tcPr>
          <w:p w14:paraId="06F8316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44456252.747 </w:t>
            </w:r>
          </w:p>
        </w:tc>
      </w:tr>
      <w:tr w14:paraId="15BDA2BB">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59593C1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46F6672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3</w:t>
            </w:r>
          </w:p>
        </w:tc>
        <w:tc>
          <w:tcPr>
            <w:tcW w:w="2683" w:type="dxa"/>
            <w:tcBorders>
              <w:top w:val="single" w:color="000000" w:sz="4" w:space="0"/>
              <w:left w:val="single" w:color="000000" w:sz="4" w:space="0"/>
              <w:bottom w:val="single" w:color="000000" w:sz="4" w:space="0"/>
              <w:right w:val="single" w:color="000000" w:sz="4" w:space="0"/>
            </w:tcBorders>
            <w:vAlign w:val="center"/>
          </w:tcPr>
          <w:p w14:paraId="114B531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5024989.613 </w:t>
            </w:r>
          </w:p>
        </w:tc>
        <w:tc>
          <w:tcPr>
            <w:tcW w:w="3066" w:type="dxa"/>
            <w:tcBorders>
              <w:top w:val="single" w:color="000000" w:sz="4" w:space="0"/>
              <w:left w:val="single" w:color="000000" w:sz="4" w:space="0"/>
              <w:bottom w:val="single" w:color="000000" w:sz="4" w:space="0"/>
              <w:right w:val="single" w:color="000000" w:sz="12" w:space="0"/>
            </w:tcBorders>
            <w:vAlign w:val="center"/>
          </w:tcPr>
          <w:p w14:paraId="0034A03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44456269.071 </w:t>
            </w:r>
          </w:p>
        </w:tc>
      </w:tr>
      <w:tr w14:paraId="1DADF19C">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582F0E7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1F93AD5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4</w:t>
            </w:r>
          </w:p>
        </w:tc>
        <w:tc>
          <w:tcPr>
            <w:tcW w:w="2683" w:type="dxa"/>
            <w:tcBorders>
              <w:top w:val="single" w:color="000000" w:sz="4" w:space="0"/>
              <w:left w:val="single" w:color="000000" w:sz="4" w:space="0"/>
              <w:bottom w:val="single" w:color="000000" w:sz="4" w:space="0"/>
              <w:right w:val="single" w:color="000000" w:sz="4" w:space="0"/>
            </w:tcBorders>
            <w:vAlign w:val="center"/>
          </w:tcPr>
          <w:p w14:paraId="51F3F5E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5024992.297 </w:t>
            </w:r>
          </w:p>
        </w:tc>
        <w:tc>
          <w:tcPr>
            <w:tcW w:w="3066" w:type="dxa"/>
            <w:tcBorders>
              <w:top w:val="single" w:color="000000" w:sz="4" w:space="0"/>
              <w:left w:val="single" w:color="000000" w:sz="4" w:space="0"/>
              <w:bottom w:val="single" w:color="000000" w:sz="4" w:space="0"/>
              <w:right w:val="single" w:color="000000" w:sz="12" w:space="0"/>
            </w:tcBorders>
            <w:vAlign w:val="center"/>
          </w:tcPr>
          <w:p w14:paraId="205598A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44456285.996 </w:t>
            </w:r>
          </w:p>
        </w:tc>
      </w:tr>
      <w:tr w14:paraId="6A701CE8">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28B55A7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3C09E2F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5</w:t>
            </w:r>
          </w:p>
        </w:tc>
        <w:tc>
          <w:tcPr>
            <w:tcW w:w="2683" w:type="dxa"/>
            <w:tcBorders>
              <w:top w:val="single" w:color="000000" w:sz="4" w:space="0"/>
              <w:left w:val="single" w:color="000000" w:sz="4" w:space="0"/>
              <w:bottom w:val="single" w:color="000000" w:sz="4" w:space="0"/>
              <w:right w:val="single" w:color="000000" w:sz="4" w:space="0"/>
            </w:tcBorders>
            <w:vAlign w:val="center"/>
          </w:tcPr>
          <w:p w14:paraId="3713004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5024993.232 </w:t>
            </w:r>
          </w:p>
        </w:tc>
        <w:tc>
          <w:tcPr>
            <w:tcW w:w="3066" w:type="dxa"/>
            <w:tcBorders>
              <w:top w:val="single" w:color="000000" w:sz="4" w:space="0"/>
              <w:left w:val="single" w:color="000000" w:sz="4" w:space="0"/>
              <w:bottom w:val="single" w:color="000000" w:sz="4" w:space="0"/>
              <w:right w:val="single" w:color="000000" w:sz="12" w:space="0"/>
            </w:tcBorders>
            <w:vAlign w:val="center"/>
          </w:tcPr>
          <w:p w14:paraId="17CE683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44456361.573 </w:t>
            </w:r>
          </w:p>
        </w:tc>
      </w:tr>
      <w:tr w14:paraId="3556931A">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473BEA3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0353D09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6</w:t>
            </w:r>
          </w:p>
        </w:tc>
        <w:tc>
          <w:tcPr>
            <w:tcW w:w="2683" w:type="dxa"/>
            <w:tcBorders>
              <w:top w:val="single" w:color="000000" w:sz="4" w:space="0"/>
              <w:left w:val="single" w:color="000000" w:sz="4" w:space="0"/>
              <w:bottom w:val="single" w:color="000000" w:sz="4" w:space="0"/>
              <w:right w:val="single" w:color="000000" w:sz="4" w:space="0"/>
            </w:tcBorders>
            <w:vAlign w:val="center"/>
          </w:tcPr>
          <w:p w14:paraId="1603C4C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5024992.801 </w:t>
            </w:r>
          </w:p>
        </w:tc>
        <w:tc>
          <w:tcPr>
            <w:tcW w:w="3066" w:type="dxa"/>
            <w:tcBorders>
              <w:top w:val="single" w:color="000000" w:sz="4" w:space="0"/>
              <w:left w:val="single" w:color="000000" w:sz="4" w:space="0"/>
              <w:bottom w:val="single" w:color="000000" w:sz="4" w:space="0"/>
              <w:right w:val="single" w:color="000000" w:sz="12" w:space="0"/>
            </w:tcBorders>
            <w:vAlign w:val="center"/>
          </w:tcPr>
          <w:p w14:paraId="3183BB8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44456411.332 </w:t>
            </w:r>
          </w:p>
        </w:tc>
      </w:tr>
      <w:tr w14:paraId="289AD4AE">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70967B8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1D6E0DA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7</w:t>
            </w:r>
          </w:p>
        </w:tc>
        <w:tc>
          <w:tcPr>
            <w:tcW w:w="2683" w:type="dxa"/>
            <w:tcBorders>
              <w:top w:val="single" w:color="000000" w:sz="4" w:space="0"/>
              <w:left w:val="single" w:color="000000" w:sz="4" w:space="0"/>
              <w:bottom w:val="single" w:color="000000" w:sz="4" w:space="0"/>
              <w:right w:val="single" w:color="000000" w:sz="4" w:space="0"/>
            </w:tcBorders>
            <w:vAlign w:val="center"/>
          </w:tcPr>
          <w:p w14:paraId="06EB6DA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5024968.293 </w:t>
            </w:r>
          </w:p>
        </w:tc>
        <w:tc>
          <w:tcPr>
            <w:tcW w:w="3066" w:type="dxa"/>
            <w:tcBorders>
              <w:top w:val="single" w:color="000000" w:sz="4" w:space="0"/>
              <w:left w:val="single" w:color="000000" w:sz="4" w:space="0"/>
              <w:bottom w:val="single" w:color="000000" w:sz="4" w:space="0"/>
              <w:right w:val="single" w:color="000000" w:sz="12" w:space="0"/>
            </w:tcBorders>
            <w:vAlign w:val="center"/>
          </w:tcPr>
          <w:p w14:paraId="6FA1220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44456484.027 </w:t>
            </w:r>
          </w:p>
        </w:tc>
      </w:tr>
      <w:tr w14:paraId="3236D27E">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43304BA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5ED053F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8</w:t>
            </w:r>
          </w:p>
        </w:tc>
        <w:tc>
          <w:tcPr>
            <w:tcW w:w="2683" w:type="dxa"/>
            <w:tcBorders>
              <w:top w:val="single" w:color="000000" w:sz="4" w:space="0"/>
              <w:left w:val="single" w:color="000000" w:sz="4" w:space="0"/>
              <w:bottom w:val="single" w:color="000000" w:sz="4" w:space="0"/>
              <w:right w:val="single" w:color="000000" w:sz="4" w:space="0"/>
            </w:tcBorders>
            <w:vAlign w:val="center"/>
          </w:tcPr>
          <w:p w14:paraId="24DAD47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5024965.048 </w:t>
            </w:r>
          </w:p>
        </w:tc>
        <w:tc>
          <w:tcPr>
            <w:tcW w:w="3066" w:type="dxa"/>
            <w:tcBorders>
              <w:top w:val="single" w:color="000000" w:sz="4" w:space="0"/>
              <w:left w:val="single" w:color="000000" w:sz="4" w:space="0"/>
              <w:bottom w:val="single" w:color="000000" w:sz="4" w:space="0"/>
              <w:right w:val="single" w:color="000000" w:sz="12" w:space="0"/>
            </w:tcBorders>
            <w:vAlign w:val="center"/>
          </w:tcPr>
          <w:p w14:paraId="2A31D9E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44456500.032 </w:t>
            </w:r>
          </w:p>
        </w:tc>
      </w:tr>
      <w:tr w14:paraId="429B393A">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55C539E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00E553E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9</w:t>
            </w:r>
          </w:p>
        </w:tc>
        <w:tc>
          <w:tcPr>
            <w:tcW w:w="2683" w:type="dxa"/>
            <w:tcBorders>
              <w:top w:val="single" w:color="000000" w:sz="4" w:space="0"/>
              <w:left w:val="single" w:color="000000" w:sz="4" w:space="0"/>
              <w:bottom w:val="single" w:color="000000" w:sz="4" w:space="0"/>
              <w:right w:val="single" w:color="000000" w:sz="4" w:space="0"/>
            </w:tcBorders>
            <w:vAlign w:val="center"/>
          </w:tcPr>
          <w:p w14:paraId="5D14DB5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5024965.372 </w:t>
            </w:r>
          </w:p>
        </w:tc>
        <w:tc>
          <w:tcPr>
            <w:tcW w:w="3066" w:type="dxa"/>
            <w:tcBorders>
              <w:top w:val="single" w:color="000000" w:sz="4" w:space="0"/>
              <w:left w:val="single" w:color="000000" w:sz="4" w:space="0"/>
              <w:bottom w:val="single" w:color="000000" w:sz="4" w:space="0"/>
              <w:right w:val="single" w:color="000000" w:sz="12" w:space="0"/>
            </w:tcBorders>
            <w:vAlign w:val="center"/>
          </w:tcPr>
          <w:p w14:paraId="6B22E89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44456511.104 </w:t>
            </w:r>
          </w:p>
        </w:tc>
      </w:tr>
      <w:tr w14:paraId="1E8D05B3">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317E789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74C33B8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10</w:t>
            </w:r>
          </w:p>
        </w:tc>
        <w:tc>
          <w:tcPr>
            <w:tcW w:w="2683" w:type="dxa"/>
            <w:tcBorders>
              <w:top w:val="single" w:color="000000" w:sz="4" w:space="0"/>
              <w:left w:val="single" w:color="000000" w:sz="4" w:space="0"/>
              <w:bottom w:val="single" w:color="000000" w:sz="4" w:space="0"/>
              <w:right w:val="single" w:color="000000" w:sz="4" w:space="0"/>
            </w:tcBorders>
            <w:vAlign w:val="center"/>
          </w:tcPr>
          <w:p w14:paraId="092CB96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5024906.018 </w:t>
            </w:r>
          </w:p>
        </w:tc>
        <w:tc>
          <w:tcPr>
            <w:tcW w:w="3066" w:type="dxa"/>
            <w:tcBorders>
              <w:top w:val="single" w:color="000000" w:sz="4" w:space="0"/>
              <w:left w:val="single" w:color="000000" w:sz="4" w:space="0"/>
              <w:bottom w:val="single" w:color="000000" w:sz="4" w:space="0"/>
              <w:right w:val="single" w:color="000000" w:sz="12" w:space="0"/>
            </w:tcBorders>
            <w:vAlign w:val="center"/>
          </w:tcPr>
          <w:p w14:paraId="553B66C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44456526.071 </w:t>
            </w:r>
          </w:p>
        </w:tc>
      </w:tr>
      <w:tr w14:paraId="00C09270">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17F92CB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7687F03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11</w:t>
            </w:r>
          </w:p>
        </w:tc>
        <w:tc>
          <w:tcPr>
            <w:tcW w:w="2683" w:type="dxa"/>
            <w:tcBorders>
              <w:top w:val="single" w:color="000000" w:sz="4" w:space="0"/>
              <w:left w:val="single" w:color="000000" w:sz="4" w:space="0"/>
              <w:bottom w:val="single" w:color="000000" w:sz="4" w:space="0"/>
              <w:right w:val="single" w:color="000000" w:sz="4" w:space="0"/>
            </w:tcBorders>
            <w:vAlign w:val="center"/>
          </w:tcPr>
          <w:p w14:paraId="7F493EF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5024873.366 </w:t>
            </w:r>
          </w:p>
        </w:tc>
        <w:tc>
          <w:tcPr>
            <w:tcW w:w="3066" w:type="dxa"/>
            <w:tcBorders>
              <w:top w:val="single" w:color="000000" w:sz="4" w:space="0"/>
              <w:left w:val="single" w:color="000000" w:sz="4" w:space="0"/>
              <w:bottom w:val="single" w:color="000000" w:sz="4" w:space="0"/>
              <w:right w:val="single" w:color="000000" w:sz="12" w:space="0"/>
            </w:tcBorders>
            <w:vAlign w:val="center"/>
          </w:tcPr>
          <w:p w14:paraId="6DD341A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44456515.460 </w:t>
            </w:r>
          </w:p>
        </w:tc>
      </w:tr>
      <w:tr w14:paraId="7B9A5D7D">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069138E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05CD5CF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12</w:t>
            </w:r>
          </w:p>
        </w:tc>
        <w:tc>
          <w:tcPr>
            <w:tcW w:w="2683" w:type="dxa"/>
            <w:tcBorders>
              <w:top w:val="single" w:color="000000" w:sz="4" w:space="0"/>
              <w:left w:val="single" w:color="000000" w:sz="4" w:space="0"/>
              <w:bottom w:val="single" w:color="000000" w:sz="4" w:space="0"/>
              <w:right w:val="single" w:color="000000" w:sz="4" w:space="0"/>
            </w:tcBorders>
            <w:vAlign w:val="center"/>
          </w:tcPr>
          <w:p w14:paraId="39BAF6D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5024852.793 </w:t>
            </w:r>
          </w:p>
        </w:tc>
        <w:tc>
          <w:tcPr>
            <w:tcW w:w="3066" w:type="dxa"/>
            <w:tcBorders>
              <w:top w:val="single" w:color="000000" w:sz="4" w:space="0"/>
              <w:left w:val="single" w:color="000000" w:sz="4" w:space="0"/>
              <w:bottom w:val="single" w:color="000000" w:sz="4" w:space="0"/>
              <w:right w:val="single" w:color="000000" w:sz="12" w:space="0"/>
            </w:tcBorders>
            <w:vAlign w:val="center"/>
          </w:tcPr>
          <w:p w14:paraId="3864FE1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44456515.460 </w:t>
            </w:r>
          </w:p>
        </w:tc>
      </w:tr>
      <w:tr w14:paraId="2B9DB846">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5F479F0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2E64756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13</w:t>
            </w:r>
          </w:p>
        </w:tc>
        <w:tc>
          <w:tcPr>
            <w:tcW w:w="2683" w:type="dxa"/>
            <w:tcBorders>
              <w:top w:val="single" w:color="000000" w:sz="4" w:space="0"/>
              <w:left w:val="single" w:color="000000" w:sz="4" w:space="0"/>
              <w:bottom w:val="single" w:color="000000" w:sz="4" w:space="0"/>
              <w:right w:val="single" w:color="000000" w:sz="4" w:space="0"/>
            </w:tcBorders>
            <w:vAlign w:val="center"/>
          </w:tcPr>
          <w:p w14:paraId="46B19D2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5024824.679 </w:t>
            </w:r>
          </w:p>
        </w:tc>
        <w:tc>
          <w:tcPr>
            <w:tcW w:w="3066" w:type="dxa"/>
            <w:tcBorders>
              <w:top w:val="single" w:color="000000" w:sz="4" w:space="0"/>
              <w:left w:val="single" w:color="000000" w:sz="4" w:space="0"/>
              <w:bottom w:val="single" w:color="000000" w:sz="4" w:space="0"/>
              <w:right w:val="single" w:color="000000" w:sz="12" w:space="0"/>
            </w:tcBorders>
            <w:vAlign w:val="center"/>
          </w:tcPr>
          <w:p w14:paraId="7ACF396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44456504.761 </w:t>
            </w:r>
          </w:p>
        </w:tc>
      </w:tr>
      <w:tr w14:paraId="748DB8E4">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4EF49B7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76FE56B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14</w:t>
            </w:r>
          </w:p>
        </w:tc>
        <w:tc>
          <w:tcPr>
            <w:tcW w:w="2683" w:type="dxa"/>
            <w:tcBorders>
              <w:top w:val="single" w:color="000000" w:sz="4" w:space="0"/>
              <w:left w:val="single" w:color="000000" w:sz="4" w:space="0"/>
              <w:bottom w:val="single" w:color="000000" w:sz="4" w:space="0"/>
              <w:right w:val="single" w:color="000000" w:sz="4" w:space="0"/>
            </w:tcBorders>
            <w:vAlign w:val="center"/>
          </w:tcPr>
          <w:p w14:paraId="4F66A6D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5024762.274 </w:t>
            </w:r>
          </w:p>
        </w:tc>
        <w:tc>
          <w:tcPr>
            <w:tcW w:w="3066" w:type="dxa"/>
            <w:tcBorders>
              <w:top w:val="single" w:color="000000" w:sz="4" w:space="0"/>
              <w:left w:val="single" w:color="000000" w:sz="4" w:space="0"/>
              <w:bottom w:val="single" w:color="000000" w:sz="4" w:space="0"/>
              <w:right w:val="single" w:color="000000" w:sz="12" w:space="0"/>
            </w:tcBorders>
            <w:vAlign w:val="center"/>
          </w:tcPr>
          <w:p w14:paraId="4E3EC34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44456454.335 </w:t>
            </w:r>
          </w:p>
        </w:tc>
      </w:tr>
      <w:tr w14:paraId="25CCA7D3">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18A57F9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4FC8C95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15</w:t>
            </w:r>
          </w:p>
        </w:tc>
        <w:tc>
          <w:tcPr>
            <w:tcW w:w="2683" w:type="dxa"/>
            <w:tcBorders>
              <w:top w:val="single" w:color="000000" w:sz="4" w:space="0"/>
              <w:left w:val="single" w:color="000000" w:sz="4" w:space="0"/>
              <w:bottom w:val="single" w:color="000000" w:sz="4" w:space="0"/>
              <w:right w:val="single" w:color="000000" w:sz="4" w:space="0"/>
            </w:tcBorders>
            <w:vAlign w:val="center"/>
          </w:tcPr>
          <w:p w14:paraId="7C0CBA9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5024736.437 </w:t>
            </w:r>
          </w:p>
        </w:tc>
        <w:tc>
          <w:tcPr>
            <w:tcW w:w="3066" w:type="dxa"/>
            <w:tcBorders>
              <w:top w:val="single" w:color="000000" w:sz="4" w:space="0"/>
              <w:left w:val="single" w:color="000000" w:sz="4" w:space="0"/>
              <w:bottom w:val="single" w:color="000000" w:sz="4" w:space="0"/>
              <w:right w:val="single" w:color="000000" w:sz="12" w:space="0"/>
            </w:tcBorders>
            <w:vAlign w:val="center"/>
          </w:tcPr>
          <w:p w14:paraId="0E39166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44456427.951 </w:t>
            </w:r>
          </w:p>
        </w:tc>
      </w:tr>
      <w:tr w14:paraId="6F8A1D55">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7116326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358B228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16</w:t>
            </w:r>
          </w:p>
        </w:tc>
        <w:tc>
          <w:tcPr>
            <w:tcW w:w="2683" w:type="dxa"/>
            <w:tcBorders>
              <w:top w:val="single" w:color="000000" w:sz="4" w:space="0"/>
              <w:left w:val="single" w:color="000000" w:sz="4" w:space="0"/>
              <w:bottom w:val="single" w:color="000000" w:sz="4" w:space="0"/>
              <w:right w:val="single" w:color="000000" w:sz="4" w:space="0"/>
            </w:tcBorders>
            <w:vAlign w:val="center"/>
          </w:tcPr>
          <w:p w14:paraId="58B71A2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5024700.441 </w:t>
            </w:r>
          </w:p>
        </w:tc>
        <w:tc>
          <w:tcPr>
            <w:tcW w:w="3066" w:type="dxa"/>
            <w:tcBorders>
              <w:top w:val="single" w:color="000000" w:sz="4" w:space="0"/>
              <w:left w:val="single" w:color="000000" w:sz="4" w:space="0"/>
              <w:bottom w:val="single" w:color="000000" w:sz="4" w:space="0"/>
              <w:right w:val="single" w:color="000000" w:sz="12" w:space="0"/>
            </w:tcBorders>
            <w:vAlign w:val="center"/>
          </w:tcPr>
          <w:p w14:paraId="49D0AC5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44456369.503 </w:t>
            </w:r>
          </w:p>
        </w:tc>
      </w:tr>
      <w:tr w14:paraId="5380B88F">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7B24621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4F1125F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17</w:t>
            </w:r>
          </w:p>
        </w:tc>
        <w:tc>
          <w:tcPr>
            <w:tcW w:w="2683" w:type="dxa"/>
            <w:tcBorders>
              <w:top w:val="single" w:color="000000" w:sz="4" w:space="0"/>
              <w:left w:val="single" w:color="000000" w:sz="4" w:space="0"/>
              <w:bottom w:val="single" w:color="000000" w:sz="4" w:space="0"/>
              <w:right w:val="single" w:color="000000" w:sz="4" w:space="0"/>
            </w:tcBorders>
            <w:vAlign w:val="center"/>
          </w:tcPr>
          <w:p w14:paraId="1F3EBD5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5024650.645 </w:t>
            </w:r>
          </w:p>
        </w:tc>
        <w:tc>
          <w:tcPr>
            <w:tcW w:w="3066" w:type="dxa"/>
            <w:tcBorders>
              <w:top w:val="single" w:color="000000" w:sz="4" w:space="0"/>
              <w:left w:val="single" w:color="000000" w:sz="4" w:space="0"/>
              <w:bottom w:val="single" w:color="000000" w:sz="4" w:space="0"/>
              <w:right w:val="single" w:color="000000" w:sz="12" w:space="0"/>
            </w:tcBorders>
            <w:vAlign w:val="center"/>
          </w:tcPr>
          <w:p w14:paraId="43C201F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44456294.452 </w:t>
            </w:r>
          </w:p>
        </w:tc>
      </w:tr>
      <w:tr w14:paraId="494618D1">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2328CAE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1C90017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18</w:t>
            </w:r>
          </w:p>
        </w:tc>
        <w:tc>
          <w:tcPr>
            <w:tcW w:w="2683" w:type="dxa"/>
            <w:tcBorders>
              <w:top w:val="single" w:color="000000" w:sz="4" w:space="0"/>
              <w:left w:val="single" w:color="000000" w:sz="4" w:space="0"/>
              <w:bottom w:val="single" w:color="000000" w:sz="4" w:space="0"/>
              <w:right w:val="single" w:color="000000" w:sz="4" w:space="0"/>
            </w:tcBorders>
            <w:vAlign w:val="center"/>
          </w:tcPr>
          <w:p w14:paraId="3B9C105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5024632.004 </w:t>
            </w:r>
          </w:p>
        </w:tc>
        <w:tc>
          <w:tcPr>
            <w:tcW w:w="3066" w:type="dxa"/>
            <w:tcBorders>
              <w:top w:val="single" w:color="000000" w:sz="4" w:space="0"/>
              <w:left w:val="single" w:color="000000" w:sz="4" w:space="0"/>
              <w:bottom w:val="single" w:color="000000" w:sz="4" w:space="0"/>
              <w:right w:val="single" w:color="000000" w:sz="12" w:space="0"/>
            </w:tcBorders>
            <w:vAlign w:val="center"/>
          </w:tcPr>
          <w:p w14:paraId="10B0BAC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44456276.241 </w:t>
            </w:r>
          </w:p>
        </w:tc>
      </w:tr>
      <w:tr w14:paraId="016674F9">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59044D1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40ABF92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19</w:t>
            </w:r>
          </w:p>
        </w:tc>
        <w:tc>
          <w:tcPr>
            <w:tcW w:w="2683" w:type="dxa"/>
            <w:tcBorders>
              <w:top w:val="single" w:color="000000" w:sz="4" w:space="0"/>
              <w:left w:val="single" w:color="000000" w:sz="4" w:space="0"/>
              <w:bottom w:val="single" w:color="000000" w:sz="4" w:space="0"/>
              <w:right w:val="single" w:color="000000" w:sz="4" w:space="0"/>
            </w:tcBorders>
            <w:vAlign w:val="center"/>
          </w:tcPr>
          <w:p w14:paraId="5F30C89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5024612.440 </w:t>
            </w:r>
          </w:p>
        </w:tc>
        <w:tc>
          <w:tcPr>
            <w:tcW w:w="3066" w:type="dxa"/>
            <w:tcBorders>
              <w:top w:val="single" w:color="000000" w:sz="4" w:space="0"/>
              <w:left w:val="single" w:color="000000" w:sz="4" w:space="0"/>
              <w:bottom w:val="single" w:color="000000" w:sz="4" w:space="0"/>
              <w:right w:val="single" w:color="000000" w:sz="12" w:space="0"/>
            </w:tcBorders>
            <w:vAlign w:val="center"/>
          </w:tcPr>
          <w:p w14:paraId="714EFAB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44456267.092 </w:t>
            </w:r>
          </w:p>
        </w:tc>
      </w:tr>
      <w:tr w14:paraId="63B7BF36">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6A492FC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14A0AF4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20</w:t>
            </w:r>
          </w:p>
        </w:tc>
        <w:tc>
          <w:tcPr>
            <w:tcW w:w="2683" w:type="dxa"/>
            <w:tcBorders>
              <w:top w:val="single" w:color="000000" w:sz="4" w:space="0"/>
              <w:left w:val="single" w:color="000000" w:sz="4" w:space="0"/>
              <w:bottom w:val="single" w:color="000000" w:sz="4" w:space="0"/>
              <w:right w:val="single" w:color="000000" w:sz="4" w:space="0"/>
            </w:tcBorders>
            <w:vAlign w:val="center"/>
          </w:tcPr>
          <w:p w14:paraId="2D08A80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5024586.045 </w:t>
            </w:r>
          </w:p>
        </w:tc>
        <w:tc>
          <w:tcPr>
            <w:tcW w:w="3066" w:type="dxa"/>
            <w:tcBorders>
              <w:top w:val="single" w:color="000000" w:sz="4" w:space="0"/>
              <w:left w:val="single" w:color="000000" w:sz="4" w:space="0"/>
              <w:bottom w:val="single" w:color="000000" w:sz="4" w:space="0"/>
              <w:right w:val="single" w:color="000000" w:sz="12" w:space="0"/>
            </w:tcBorders>
            <w:vAlign w:val="center"/>
          </w:tcPr>
          <w:p w14:paraId="70FE22B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44456243.131 </w:t>
            </w:r>
          </w:p>
        </w:tc>
      </w:tr>
      <w:tr w14:paraId="290377F3">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15009FE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25872B0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21</w:t>
            </w:r>
          </w:p>
        </w:tc>
        <w:tc>
          <w:tcPr>
            <w:tcW w:w="2683" w:type="dxa"/>
            <w:tcBorders>
              <w:top w:val="single" w:color="000000" w:sz="4" w:space="0"/>
              <w:left w:val="single" w:color="000000" w:sz="4" w:space="0"/>
              <w:bottom w:val="single" w:color="000000" w:sz="4" w:space="0"/>
              <w:right w:val="single" w:color="000000" w:sz="4" w:space="0"/>
            </w:tcBorders>
            <w:vAlign w:val="center"/>
          </w:tcPr>
          <w:p w14:paraId="0845A10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5024585.619 </w:t>
            </w:r>
          </w:p>
        </w:tc>
        <w:tc>
          <w:tcPr>
            <w:tcW w:w="3066" w:type="dxa"/>
            <w:tcBorders>
              <w:top w:val="single" w:color="000000" w:sz="4" w:space="0"/>
              <w:left w:val="single" w:color="000000" w:sz="4" w:space="0"/>
              <w:bottom w:val="single" w:color="000000" w:sz="4" w:space="0"/>
              <w:right w:val="single" w:color="000000" w:sz="12" w:space="0"/>
            </w:tcBorders>
            <w:vAlign w:val="center"/>
          </w:tcPr>
          <w:p w14:paraId="1D6808C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44456214.513 </w:t>
            </w:r>
          </w:p>
        </w:tc>
      </w:tr>
      <w:tr w14:paraId="50D786BA">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79B29BD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7DAEE95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22</w:t>
            </w:r>
          </w:p>
        </w:tc>
        <w:tc>
          <w:tcPr>
            <w:tcW w:w="2683" w:type="dxa"/>
            <w:tcBorders>
              <w:top w:val="single" w:color="000000" w:sz="4" w:space="0"/>
              <w:left w:val="single" w:color="000000" w:sz="4" w:space="0"/>
              <w:bottom w:val="single" w:color="000000" w:sz="4" w:space="0"/>
              <w:right w:val="single" w:color="000000" w:sz="4" w:space="0"/>
            </w:tcBorders>
            <w:vAlign w:val="center"/>
          </w:tcPr>
          <w:p w14:paraId="4EAA9CA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5024589.979 </w:t>
            </w:r>
          </w:p>
        </w:tc>
        <w:tc>
          <w:tcPr>
            <w:tcW w:w="3066" w:type="dxa"/>
            <w:tcBorders>
              <w:top w:val="single" w:color="000000" w:sz="4" w:space="0"/>
              <w:left w:val="single" w:color="000000" w:sz="4" w:space="0"/>
              <w:bottom w:val="single" w:color="000000" w:sz="4" w:space="0"/>
              <w:right w:val="single" w:color="000000" w:sz="12" w:space="0"/>
            </w:tcBorders>
            <w:vAlign w:val="center"/>
          </w:tcPr>
          <w:p w14:paraId="32C4B02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44456172.702 </w:t>
            </w:r>
          </w:p>
        </w:tc>
      </w:tr>
      <w:tr w14:paraId="6259CCED">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5C3369F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0BF7CA0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23</w:t>
            </w:r>
          </w:p>
        </w:tc>
        <w:tc>
          <w:tcPr>
            <w:tcW w:w="2683" w:type="dxa"/>
            <w:tcBorders>
              <w:top w:val="single" w:color="000000" w:sz="4" w:space="0"/>
              <w:left w:val="single" w:color="000000" w:sz="4" w:space="0"/>
              <w:bottom w:val="single" w:color="000000" w:sz="4" w:space="0"/>
              <w:right w:val="single" w:color="000000" w:sz="4" w:space="0"/>
            </w:tcBorders>
            <w:vAlign w:val="center"/>
          </w:tcPr>
          <w:p w14:paraId="5B1C459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5024598.484 </w:t>
            </w:r>
          </w:p>
        </w:tc>
        <w:tc>
          <w:tcPr>
            <w:tcW w:w="3066" w:type="dxa"/>
            <w:tcBorders>
              <w:top w:val="single" w:color="000000" w:sz="4" w:space="0"/>
              <w:left w:val="single" w:color="000000" w:sz="4" w:space="0"/>
              <w:bottom w:val="single" w:color="000000" w:sz="4" w:space="0"/>
              <w:right w:val="single" w:color="000000" w:sz="12" w:space="0"/>
            </w:tcBorders>
            <w:vAlign w:val="center"/>
          </w:tcPr>
          <w:p w14:paraId="53FD6F5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44456152.595 </w:t>
            </w:r>
          </w:p>
        </w:tc>
      </w:tr>
      <w:tr w14:paraId="644A173D">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696A8C8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16B3A70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24</w:t>
            </w:r>
          </w:p>
        </w:tc>
        <w:tc>
          <w:tcPr>
            <w:tcW w:w="2683" w:type="dxa"/>
            <w:tcBorders>
              <w:top w:val="single" w:color="000000" w:sz="4" w:space="0"/>
              <w:left w:val="single" w:color="000000" w:sz="4" w:space="0"/>
              <w:bottom w:val="single" w:color="000000" w:sz="4" w:space="0"/>
              <w:right w:val="single" w:color="000000" w:sz="4" w:space="0"/>
            </w:tcBorders>
            <w:vAlign w:val="center"/>
          </w:tcPr>
          <w:p w14:paraId="2A4E8D1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5024619.764 </w:t>
            </w:r>
          </w:p>
        </w:tc>
        <w:tc>
          <w:tcPr>
            <w:tcW w:w="3066" w:type="dxa"/>
            <w:tcBorders>
              <w:top w:val="single" w:color="000000" w:sz="4" w:space="0"/>
              <w:left w:val="single" w:color="000000" w:sz="4" w:space="0"/>
              <w:bottom w:val="single" w:color="000000" w:sz="4" w:space="0"/>
              <w:right w:val="single" w:color="000000" w:sz="12" w:space="0"/>
            </w:tcBorders>
            <w:vAlign w:val="center"/>
          </w:tcPr>
          <w:p w14:paraId="6DCB405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44456144.241 </w:t>
            </w:r>
          </w:p>
        </w:tc>
      </w:tr>
      <w:tr w14:paraId="22232024">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2BF45DE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6A2AFD3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25</w:t>
            </w:r>
          </w:p>
        </w:tc>
        <w:tc>
          <w:tcPr>
            <w:tcW w:w="2683" w:type="dxa"/>
            <w:tcBorders>
              <w:top w:val="single" w:color="000000" w:sz="4" w:space="0"/>
              <w:left w:val="single" w:color="000000" w:sz="4" w:space="0"/>
              <w:bottom w:val="single" w:color="000000" w:sz="4" w:space="0"/>
              <w:right w:val="single" w:color="000000" w:sz="4" w:space="0"/>
            </w:tcBorders>
            <w:vAlign w:val="center"/>
          </w:tcPr>
          <w:p w14:paraId="5866B19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5024682.356 </w:t>
            </w:r>
          </w:p>
        </w:tc>
        <w:tc>
          <w:tcPr>
            <w:tcW w:w="3066" w:type="dxa"/>
            <w:tcBorders>
              <w:top w:val="single" w:color="000000" w:sz="4" w:space="0"/>
              <w:left w:val="single" w:color="000000" w:sz="4" w:space="0"/>
              <w:bottom w:val="single" w:color="000000" w:sz="4" w:space="0"/>
              <w:right w:val="single" w:color="000000" w:sz="12" w:space="0"/>
            </w:tcBorders>
            <w:vAlign w:val="center"/>
          </w:tcPr>
          <w:p w14:paraId="6C007A6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44456134.308 </w:t>
            </w:r>
          </w:p>
        </w:tc>
      </w:tr>
      <w:tr w14:paraId="68187B87">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2C40A5B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5853F95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26</w:t>
            </w:r>
          </w:p>
        </w:tc>
        <w:tc>
          <w:tcPr>
            <w:tcW w:w="2683" w:type="dxa"/>
            <w:tcBorders>
              <w:top w:val="single" w:color="000000" w:sz="4" w:space="0"/>
              <w:left w:val="single" w:color="000000" w:sz="4" w:space="0"/>
              <w:bottom w:val="single" w:color="000000" w:sz="4" w:space="0"/>
              <w:right w:val="single" w:color="000000" w:sz="4" w:space="0"/>
            </w:tcBorders>
            <w:vAlign w:val="center"/>
          </w:tcPr>
          <w:p w14:paraId="222CC75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5024754.937 </w:t>
            </w:r>
          </w:p>
        </w:tc>
        <w:tc>
          <w:tcPr>
            <w:tcW w:w="3066" w:type="dxa"/>
            <w:tcBorders>
              <w:top w:val="single" w:color="000000" w:sz="4" w:space="0"/>
              <w:left w:val="single" w:color="000000" w:sz="4" w:space="0"/>
              <w:bottom w:val="single" w:color="000000" w:sz="4" w:space="0"/>
              <w:right w:val="single" w:color="000000" w:sz="12" w:space="0"/>
            </w:tcBorders>
            <w:vAlign w:val="center"/>
          </w:tcPr>
          <w:p w14:paraId="6CDEA99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44456136.782 </w:t>
            </w:r>
          </w:p>
        </w:tc>
      </w:tr>
      <w:tr w14:paraId="5CC71F4D">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5E9C88B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54B8BB5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27</w:t>
            </w:r>
          </w:p>
        </w:tc>
        <w:tc>
          <w:tcPr>
            <w:tcW w:w="2683" w:type="dxa"/>
            <w:tcBorders>
              <w:top w:val="single" w:color="000000" w:sz="4" w:space="0"/>
              <w:left w:val="single" w:color="000000" w:sz="4" w:space="0"/>
              <w:bottom w:val="single" w:color="000000" w:sz="4" w:space="0"/>
              <w:right w:val="single" w:color="000000" w:sz="4" w:space="0"/>
            </w:tcBorders>
            <w:vAlign w:val="center"/>
          </w:tcPr>
          <w:p w14:paraId="1E17624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5024807.456 </w:t>
            </w:r>
          </w:p>
        </w:tc>
        <w:tc>
          <w:tcPr>
            <w:tcW w:w="3066" w:type="dxa"/>
            <w:tcBorders>
              <w:top w:val="single" w:color="000000" w:sz="4" w:space="0"/>
              <w:left w:val="single" w:color="000000" w:sz="4" w:space="0"/>
              <w:bottom w:val="single" w:color="000000" w:sz="4" w:space="0"/>
              <w:right w:val="single" w:color="000000" w:sz="12" w:space="0"/>
            </w:tcBorders>
            <w:vAlign w:val="center"/>
          </w:tcPr>
          <w:p w14:paraId="10EA0D0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44456158.051 </w:t>
            </w:r>
          </w:p>
        </w:tc>
      </w:tr>
      <w:tr w14:paraId="3A539944">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3E0802D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3331433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28</w:t>
            </w:r>
          </w:p>
        </w:tc>
        <w:tc>
          <w:tcPr>
            <w:tcW w:w="2683" w:type="dxa"/>
            <w:tcBorders>
              <w:top w:val="single" w:color="000000" w:sz="4" w:space="0"/>
              <w:left w:val="single" w:color="000000" w:sz="4" w:space="0"/>
              <w:bottom w:val="single" w:color="000000" w:sz="4" w:space="0"/>
              <w:right w:val="single" w:color="000000" w:sz="4" w:space="0"/>
            </w:tcBorders>
            <w:vAlign w:val="center"/>
          </w:tcPr>
          <w:p w14:paraId="3EC1F4C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5024847.437 </w:t>
            </w:r>
          </w:p>
        </w:tc>
        <w:tc>
          <w:tcPr>
            <w:tcW w:w="3066" w:type="dxa"/>
            <w:tcBorders>
              <w:top w:val="single" w:color="000000" w:sz="4" w:space="0"/>
              <w:left w:val="single" w:color="000000" w:sz="4" w:space="0"/>
              <w:bottom w:val="single" w:color="000000" w:sz="4" w:space="0"/>
              <w:right w:val="single" w:color="000000" w:sz="12" w:space="0"/>
            </w:tcBorders>
            <w:vAlign w:val="center"/>
          </w:tcPr>
          <w:p w14:paraId="2CC4283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44456187.572 </w:t>
            </w:r>
          </w:p>
        </w:tc>
      </w:tr>
      <w:tr w14:paraId="0529EFF0">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29A2328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7336"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14:paraId="07830FF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露天采场平台</w:t>
            </w:r>
          </w:p>
        </w:tc>
      </w:tr>
      <w:tr w14:paraId="191B3AEC">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2C919E7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1C1D6C2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w:t>
            </w:r>
          </w:p>
        </w:tc>
        <w:tc>
          <w:tcPr>
            <w:tcW w:w="2683" w:type="dxa"/>
            <w:tcBorders>
              <w:top w:val="single" w:color="000000" w:sz="4" w:space="0"/>
              <w:left w:val="single" w:color="000000" w:sz="4" w:space="0"/>
              <w:bottom w:val="single" w:color="000000" w:sz="4" w:space="0"/>
              <w:right w:val="single" w:color="000000" w:sz="4" w:space="0"/>
            </w:tcBorders>
            <w:vAlign w:val="center"/>
          </w:tcPr>
          <w:p w14:paraId="1BE0772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5024922.705 </w:t>
            </w:r>
          </w:p>
        </w:tc>
        <w:tc>
          <w:tcPr>
            <w:tcW w:w="3066" w:type="dxa"/>
            <w:tcBorders>
              <w:top w:val="single" w:color="000000" w:sz="4" w:space="0"/>
              <w:left w:val="single" w:color="000000" w:sz="4" w:space="0"/>
              <w:bottom w:val="single" w:color="000000" w:sz="4" w:space="0"/>
              <w:right w:val="single" w:color="000000" w:sz="12" w:space="0"/>
            </w:tcBorders>
            <w:vAlign w:val="center"/>
          </w:tcPr>
          <w:p w14:paraId="50EFC9A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44456210.966 </w:t>
            </w:r>
          </w:p>
        </w:tc>
      </w:tr>
      <w:tr w14:paraId="187C85BA">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68ECE32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485D9F1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w:t>
            </w:r>
          </w:p>
        </w:tc>
        <w:tc>
          <w:tcPr>
            <w:tcW w:w="2683" w:type="dxa"/>
            <w:tcBorders>
              <w:top w:val="single" w:color="000000" w:sz="4" w:space="0"/>
              <w:left w:val="single" w:color="000000" w:sz="4" w:space="0"/>
              <w:bottom w:val="single" w:color="000000" w:sz="4" w:space="0"/>
              <w:right w:val="single" w:color="000000" w:sz="4" w:space="0"/>
            </w:tcBorders>
            <w:vAlign w:val="center"/>
          </w:tcPr>
          <w:p w14:paraId="219550F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5025000.441 </w:t>
            </w:r>
          </w:p>
        </w:tc>
        <w:tc>
          <w:tcPr>
            <w:tcW w:w="3066" w:type="dxa"/>
            <w:tcBorders>
              <w:top w:val="single" w:color="000000" w:sz="4" w:space="0"/>
              <w:left w:val="single" w:color="000000" w:sz="4" w:space="0"/>
              <w:bottom w:val="single" w:color="000000" w:sz="4" w:space="0"/>
              <w:right w:val="single" w:color="000000" w:sz="12" w:space="0"/>
            </w:tcBorders>
            <w:vAlign w:val="center"/>
          </w:tcPr>
          <w:p w14:paraId="6CE3AC1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44456223.994 </w:t>
            </w:r>
          </w:p>
        </w:tc>
      </w:tr>
      <w:tr w14:paraId="1CA2522D">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0281CA5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7100E1C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3</w:t>
            </w:r>
          </w:p>
        </w:tc>
        <w:tc>
          <w:tcPr>
            <w:tcW w:w="2683" w:type="dxa"/>
            <w:tcBorders>
              <w:top w:val="single" w:color="000000" w:sz="4" w:space="0"/>
              <w:left w:val="single" w:color="000000" w:sz="4" w:space="0"/>
              <w:bottom w:val="single" w:color="000000" w:sz="4" w:space="0"/>
              <w:right w:val="single" w:color="000000" w:sz="4" w:space="0"/>
            </w:tcBorders>
            <w:vAlign w:val="center"/>
          </w:tcPr>
          <w:p w14:paraId="33B1230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5025003.127 </w:t>
            </w:r>
          </w:p>
        </w:tc>
        <w:tc>
          <w:tcPr>
            <w:tcW w:w="3066" w:type="dxa"/>
            <w:tcBorders>
              <w:top w:val="single" w:color="000000" w:sz="4" w:space="0"/>
              <w:left w:val="single" w:color="000000" w:sz="4" w:space="0"/>
              <w:bottom w:val="single" w:color="000000" w:sz="4" w:space="0"/>
              <w:right w:val="single" w:color="000000" w:sz="12" w:space="0"/>
            </w:tcBorders>
            <w:vAlign w:val="center"/>
          </w:tcPr>
          <w:p w14:paraId="2EC3BB1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44456239.142 </w:t>
            </w:r>
          </w:p>
        </w:tc>
      </w:tr>
      <w:tr w14:paraId="5CDF2171">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006695A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5C1E2CD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4</w:t>
            </w:r>
          </w:p>
        </w:tc>
        <w:tc>
          <w:tcPr>
            <w:tcW w:w="2683" w:type="dxa"/>
            <w:tcBorders>
              <w:top w:val="single" w:color="000000" w:sz="4" w:space="0"/>
              <w:left w:val="single" w:color="000000" w:sz="4" w:space="0"/>
              <w:bottom w:val="single" w:color="000000" w:sz="4" w:space="0"/>
              <w:right w:val="single" w:color="000000" w:sz="4" w:space="0"/>
            </w:tcBorders>
            <w:vAlign w:val="center"/>
          </w:tcPr>
          <w:p w14:paraId="26B630A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5025001.682 </w:t>
            </w:r>
          </w:p>
        </w:tc>
        <w:tc>
          <w:tcPr>
            <w:tcW w:w="3066" w:type="dxa"/>
            <w:tcBorders>
              <w:top w:val="single" w:color="000000" w:sz="4" w:space="0"/>
              <w:left w:val="single" w:color="000000" w:sz="4" w:space="0"/>
              <w:bottom w:val="single" w:color="000000" w:sz="4" w:space="0"/>
              <w:right w:val="single" w:color="000000" w:sz="12" w:space="0"/>
            </w:tcBorders>
            <w:vAlign w:val="center"/>
          </w:tcPr>
          <w:p w14:paraId="03CEECB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44456253.953 </w:t>
            </w:r>
          </w:p>
        </w:tc>
      </w:tr>
      <w:tr w14:paraId="0CBF3B8E">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120DEFA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17A5249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5</w:t>
            </w:r>
          </w:p>
        </w:tc>
        <w:tc>
          <w:tcPr>
            <w:tcW w:w="2683" w:type="dxa"/>
            <w:tcBorders>
              <w:top w:val="single" w:color="000000" w:sz="4" w:space="0"/>
              <w:left w:val="single" w:color="000000" w:sz="4" w:space="0"/>
              <w:bottom w:val="single" w:color="000000" w:sz="4" w:space="0"/>
              <w:right w:val="single" w:color="000000" w:sz="4" w:space="0"/>
            </w:tcBorders>
            <w:vAlign w:val="center"/>
          </w:tcPr>
          <w:p w14:paraId="7DB3B02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5025006.401 </w:t>
            </w:r>
          </w:p>
        </w:tc>
        <w:tc>
          <w:tcPr>
            <w:tcW w:w="3066" w:type="dxa"/>
            <w:tcBorders>
              <w:top w:val="single" w:color="000000" w:sz="4" w:space="0"/>
              <w:left w:val="single" w:color="000000" w:sz="4" w:space="0"/>
              <w:bottom w:val="single" w:color="000000" w:sz="4" w:space="0"/>
              <w:right w:val="single" w:color="000000" w:sz="12" w:space="0"/>
            </w:tcBorders>
            <w:vAlign w:val="center"/>
          </w:tcPr>
          <w:p w14:paraId="3A2357E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44456300.259 </w:t>
            </w:r>
          </w:p>
        </w:tc>
      </w:tr>
      <w:tr w14:paraId="2DB87758">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7C38C60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701834A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6</w:t>
            </w:r>
          </w:p>
        </w:tc>
        <w:tc>
          <w:tcPr>
            <w:tcW w:w="2683" w:type="dxa"/>
            <w:tcBorders>
              <w:top w:val="single" w:color="000000" w:sz="4" w:space="0"/>
              <w:left w:val="single" w:color="000000" w:sz="4" w:space="0"/>
              <w:bottom w:val="single" w:color="000000" w:sz="4" w:space="0"/>
              <w:right w:val="single" w:color="000000" w:sz="4" w:space="0"/>
            </w:tcBorders>
            <w:vAlign w:val="center"/>
          </w:tcPr>
          <w:p w14:paraId="4CC312E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5025019.674 </w:t>
            </w:r>
          </w:p>
        </w:tc>
        <w:tc>
          <w:tcPr>
            <w:tcW w:w="3066" w:type="dxa"/>
            <w:tcBorders>
              <w:top w:val="single" w:color="000000" w:sz="4" w:space="0"/>
              <w:left w:val="single" w:color="000000" w:sz="4" w:space="0"/>
              <w:bottom w:val="single" w:color="000000" w:sz="4" w:space="0"/>
              <w:right w:val="single" w:color="000000" w:sz="12" w:space="0"/>
            </w:tcBorders>
            <w:vAlign w:val="center"/>
          </w:tcPr>
          <w:p w14:paraId="0E722FA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44456351.285 </w:t>
            </w:r>
          </w:p>
        </w:tc>
      </w:tr>
      <w:tr w14:paraId="614FFD9C">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040F373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6C50D88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7</w:t>
            </w:r>
          </w:p>
        </w:tc>
        <w:tc>
          <w:tcPr>
            <w:tcW w:w="2683" w:type="dxa"/>
            <w:tcBorders>
              <w:top w:val="single" w:color="000000" w:sz="4" w:space="0"/>
              <w:left w:val="single" w:color="000000" w:sz="4" w:space="0"/>
              <w:bottom w:val="single" w:color="000000" w:sz="4" w:space="0"/>
              <w:right w:val="single" w:color="000000" w:sz="4" w:space="0"/>
            </w:tcBorders>
            <w:vAlign w:val="center"/>
          </w:tcPr>
          <w:p w14:paraId="7E6CE6E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5025050.006 </w:t>
            </w:r>
          </w:p>
        </w:tc>
        <w:tc>
          <w:tcPr>
            <w:tcW w:w="3066" w:type="dxa"/>
            <w:tcBorders>
              <w:top w:val="single" w:color="000000" w:sz="4" w:space="0"/>
              <w:left w:val="single" w:color="000000" w:sz="4" w:space="0"/>
              <w:bottom w:val="single" w:color="000000" w:sz="4" w:space="0"/>
              <w:right w:val="single" w:color="000000" w:sz="12" w:space="0"/>
            </w:tcBorders>
            <w:vAlign w:val="center"/>
          </w:tcPr>
          <w:p w14:paraId="43EFC48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44456376.156 </w:t>
            </w:r>
          </w:p>
        </w:tc>
      </w:tr>
      <w:tr w14:paraId="736AA736">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6EA4F4C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7BB19A0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8</w:t>
            </w:r>
          </w:p>
        </w:tc>
        <w:tc>
          <w:tcPr>
            <w:tcW w:w="2683" w:type="dxa"/>
            <w:tcBorders>
              <w:top w:val="single" w:color="000000" w:sz="4" w:space="0"/>
              <w:left w:val="single" w:color="000000" w:sz="4" w:space="0"/>
              <w:bottom w:val="single" w:color="000000" w:sz="4" w:space="0"/>
              <w:right w:val="single" w:color="000000" w:sz="4" w:space="0"/>
            </w:tcBorders>
            <w:vAlign w:val="center"/>
          </w:tcPr>
          <w:p w14:paraId="2EDBCEA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5025049.672 </w:t>
            </w:r>
          </w:p>
        </w:tc>
        <w:tc>
          <w:tcPr>
            <w:tcW w:w="3066" w:type="dxa"/>
            <w:tcBorders>
              <w:top w:val="single" w:color="000000" w:sz="4" w:space="0"/>
              <w:left w:val="single" w:color="000000" w:sz="4" w:space="0"/>
              <w:bottom w:val="single" w:color="000000" w:sz="4" w:space="0"/>
              <w:right w:val="single" w:color="000000" w:sz="12" w:space="0"/>
            </w:tcBorders>
            <w:vAlign w:val="center"/>
          </w:tcPr>
          <w:p w14:paraId="7855645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44456447.849 </w:t>
            </w:r>
          </w:p>
        </w:tc>
      </w:tr>
      <w:tr w14:paraId="63AC13B4">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51E12F6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1852E97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9</w:t>
            </w:r>
          </w:p>
        </w:tc>
        <w:tc>
          <w:tcPr>
            <w:tcW w:w="2683" w:type="dxa"/>
            <w:tcBorders>
              <w:top w:val="single" w:color="000000" w:sz="4" w:space="0"/>
              <w:left w:val="single" w:color="000000" w:sz="4" w:space="0"/>
              <w:bottom w:val="single" w:color="000000" w:sz="4" w:space="0"/>
              <w:right w:val="single" w:color="000000" w:sz="4" w:space="0"/>
            </w:tcBorders>
            <w:vAlign w:val="center"/>
          </w:tcPr>
          <w:p w14:paraId="25BBE97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5025017.523 </w:t>
            </w:r>
          </w:p>
        </w:tc>
        <w:tc>
          <w:tcPr>
            <w:tcW w:w="3066" w:type="dxa"/>
            <w:tcBorders>
              <w:top w:val="single" w:color="000000" w:sz="4" w:space="0"/>
              <w:left w:val="single" w:color="000000" w:sz="4" w:space="0"/>
              <w:bottom w:val="single" w:color="000000" w:sz="4" w:space="0"/>
              <w:right w:val="single" w:color="000000" w:sz="12" w:space="0"/>
            </w:tcBorders>
            <w:vAlign w:val="center"/>
          </w:tcPr>
          <w:p w14:paraId="390B6EF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44456477.933 </w:t>
            </w:r>
          </w:p>
        </w:tc>
      </w:tr>
      <w:tr w14:paraId="28C18167">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358231B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0C856AB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10</w:t>
            </w:r>
          </w:p>
        </w:tc>
        <w:tc>
          <w:tcPr>
            <w:tcW w:w="2683" w:type="dxa"/>
            <w:tcBorders>
              <w:top w:val="single" w:color="000000" w:sz="4" w:space="0"/>
              <w:left w:val="single" w:color="000000" w:sz="4" w:space="0"/>
              <w:bottom w:val="single" w:color="000000" w:sz="4" w:space="0"/>
              <w:right w:val="single" w:color="000000" w:sz="4" w:space="0"/>
            </w:tcBorders>
            <w:vAlign w:val="center"/>
          </w:tcPr>
          <w:p w14:paraId="6DB3926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5024965.372 </w:t>
            </w:r>
          </w:p>
        </w:tc>
        <w:tc>
          <w:tcPr>
            <w:tcW w:w="3066" w:type="dxa"/>
            <w:tcBorders>
              <w:top w:val="single" w:color="000000" w:sz="4" w:space="0"/>
              <w:left w:val="single" w:color="000000" w:sz="4" w:space="0"/>
              <w:bottom w:val="single" w:color="000000" w:sz="4" w:space="0"/>
              <w:right w:val="single" w:color="000000" w:sz="12" w:space="0"/>
            </w:tcBorders>
            <w:vAlign w:val="center"/>
          </w:tcPr>
          <w:p w14:paraId="4270EA1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44456511.104 </w:t>
            </w:r>
          </w:p>
        </w:tc>
      </w:tr>
      <w:tr w14:paraId="6E027341">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0C02DE8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4683F09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11</w:t>
            </w:r>
          </w:p>
        </w:tc>
        <w:tc>
          <w:tcPr>
            <w:tcW w:w="2683" w:type="dxa"/>
            <w:tcBorders>
              <w:top w:val="single" w:color="000000" w:sz="4" w:space="0"/>
              <w:left w:val="single" w:color="000000" w:sz="4" w:space="0"/>
              <w:bottom w:val="single" w:color="000000" w:sz="4" w:space="0"/>
              <w:right w:val="single" w:color="000000" w:sz="4" w:space="0"/>
            </w:tcBorders>
            <w:vAlign w:val="center"/>
          </w:tcPr>
          <w:p w14:paraId="671CFF7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5025005.458 </w:t>
            </w:r>
          </w:p>
        </w:tc>
        <w:tc>
          <w:tcPr>
            <w:tcW w:w="3066" w:type="dxa"/>
            <w:tcBorders>
              <w:top w:val="single" w:color="000000" w:sz="4" w:space="0"/>
              <w:left w:val="single" w:color="000000" w:sz="4" w:space="0"/>
              <w:bottom w:val="single" w:color="000000" w:sz="4" w:space="0"/>
              <w:right w:val="single" w:color="000000" w:sz="12" w:space="0"/>
            </w:tcBorders>
            <w:vAlign w:val="center"/>
          </w:tcPr>
          <w:p w14:paraId="6C1E0C4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44456442.789 </w:t>
            </w:r>
          </w:p>
        </w:tc>
      </w:tr>
      <w:tr w14:paraId="7D9DD6CE">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74BD83D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61F03F1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12</w:t>
            </w:r>
          </w:p>
        </w:tc>
        <w:tc>
          <w:tcPr>
            <w:tcW w:w="2683" w:type="dxa"/>
            <w:tcBorders>
              <w:top w:val="single" w:color="000000" w:sz="4" w:space="0"/>
              <w:left w:val="single" w:color="000000" w:sz="4" w:space="0"/>
              <w:bottom w:val="single" w:color="000000" w:sz="4" w:space="0"/>
              <w:right w:val="single" w:color="000000" w:sz="4" w:space="0"/>
            </w:tcBorders>
            <w:vAlign w:val="center"/>
          </w:tcPr>
          <w:p w14:paraId="29801FC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5025020.592 </w:t>
            </w:r>
          </w:p>
        </w:tc>
        <w:tc>
          <w:tcPr>
            <w:tcW w:w="3066" w:type="dxa"/>
            <w:tcBorders>
              <w:top w:val="single" w:color="000000" w:sz="4" w:space="0"/>
              <w:left w:val="single" w:color="000000" w:sz="4" w:space="0"/>
              <w:bottom w:val="single" w:color="000000" w:sz="4" w:space="0"/>
              <w:right w:val="single" w:color="000000" w:sz="12" w:space="0"/>
            </w:tcBorders>
            <w:vAlign w:val="center"/>
          </w:tcPr>
          <w:p w14:paraId="314A5FE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44456393.995 </w:t>
            </w:r>
          </w:p>
        </w:tc>
      </w:tr>
      <w:tr w14:paraId="7550AE33">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7D328A2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088B6F2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13</w:t>
            </w:r>
          </w:p>
        </w:tc>
        <w:tc>
          <w:tcPr>
            <w:tcW w:w="2683" w:type="dxa"/>
            <w:tcBorders>
              <w:top w:val="single" w:color="000000" w:sz="4" w:space="0"/>
              <w:left w:val="single" w:color="000000" w:sz="4" w:space="0"/>
              <w:bottom w:val="single" w:color="000000" w:sz="4" w:space="0"/>
              <w:right w:val="single" w:color="000000" w:sz="4" w:space="0"/>
            </w:tcBorders>
            <w:vAlign w:val="center"/>
          </w:tcPr>
          <w:p w14:paraId="229EA2D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5025003.912 </w:t>
            </w:r>
          </w:p>
        </w:tc>
        <w:tc>
          <w:tcPr>
            <w:tcW w:w="3066" w:type="dxa"/>
            <w:tcBorders>
              <w:top w:val="single" w:color="000000" w:sz="4" w:space="0"/>
              <w:left w:val="single" w:color="000000" w:sz="4" w:space="0"/>
              <w:bottom w:val="single" w:color="000000" w:sz="4" w:space="0"/>
              <w:right w:val="single" w:color="000000" w:sz="12" w:space="0"/>
            </w:tcBorders>
            <w:vAlign w:val="center"/>
          </w:tcPr>
          <w:p w14:paraId="729ADD4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44456337.999 </w:t>
            </w:r>
          </w:p>
        </w:tc>
      </w:tr>
      <w:tr w14:paraId="77993490">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275686B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443F105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14</w:t>
            </w:r>
          </w:p>
        </w:tc>
        <w:tc>
          <w:tcPr>
            <w:tcW w:w="2683" w:type="dxa"/>
            <w:tcBorders>
              <w:top w:val="single" w:color="000000" w:sz="4" w:space="0"/>
              <w:left w:val="single" w:color="000000" w:sz="4" w:space="0"/>
              <w:bottom w:val="single" w:color="000000" w:sz="4" w:space="0"/>
              <w:right w:val="single" w:color="000000" w:sz="4" w:space="0"/>
            </w:tcBorders>
            <w:vAlign w:val="center"/>
          </w:tcPr>
          <w:p w14:paraId="22D8161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5025000.441 </w:t>
            </w:r>
          </w:p>
        </w:tc>
        <w:tc>
          <w:tcPr>
            <w:tcW w:w="3066" w:type="dxa"/>
            <w:tcBorders>
              <w:top w:val="single" w:color="000000" w:sz="4" w:space="0"/>
              <w:left w:val="single" w:color="000000" w:sz="4" w:space="0"/>
              <w:bottom w:val="single" w:color="000000" w:sz="4" w:space="0"/>
              <w:right w:val="single" w:color="000000" w:sz="12" w:space="0"/>
            </w:tcBorders>
            <w:vAlign w:val="center"/>
          </w:tcPr>
          <w:p w14:paraId="01C8A30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44456305.032 </w:t>
            </w:r>
          </w:p>
        </w:tc>
      </w:tr>
      <w:tr w14:paraId="73143453">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30E11F5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2372441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15</w:t>
            </w:r>
          </w:p>
        </w:tc>
        <w:tc>
          <w:tcPr>
            <w:tcW w:w="2683" w:type="dxa"/>
            <w:tcBorders>
              <w:top w:val="single" w:color="000000" w:sz="4" w:space="0"/>
              <w:left w:val="single" w:color="000000" w:sz="4" w:space="0"/>
              <w:bottom w:val="single" w:color="000000" w:sz="4" w:space="0"/>
              <w:right w:val="single" w:color="000000" w:sz="4" w:space="0"/>
            </w:tcBorders>
            <w:vAlign w:val="center"/>
          </w:tcPr>
          <w:p w14:paraId="2036D05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5024998.834 </w:t>
            </w:r>
          </w:p>
        </w:tc>
        <w:tc>
          <w:tcPr>
            <w:tcW w:w="3066" w:type="dxa"/>
            <w:tcBorders>
              <w:top w:val="single" w:color="000000" w:sz="4" w:space="0"/>
              <w:left w:val="single" w:color="000000" w:sz="4" w:space="0"/>
              <w:bottom w:val="single" w:color="000000" w:sz="4" w:space="0"/>
              <w:right w:val="single" w:color="000000" w:sz="12" w:space="0"/>
            </w:tcBorders>
            <w:vAlign w:val="center"/>
          </w:tcPr>
          <w:p w14:paraId="5BD40A6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44456266.545 </w:t>
            </w:r>
          </w:p>
        </w:tc>
      </w:tr>
      <w:tr w14:paraId="679A15BD">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4BEB267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6CF7BF1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16</w:t>
            </w:r>
          </w:p>
        </w:tc>
        <w:tc>
          <w:tcPr>
            <w:tcW w:w="2683" w:type="dxa"/>
            <w:tcBorders>
              <w:top w:val="single" w:color="000000" w:sz="4" w:space="0"/>
              <w:left w:val="single" w:color="000000" w:sz="4" w:space="0"/>
              <w:bottom w:val="single" w:color="000000" w:sz="4" w:space="0"/>
              <w:right w:val="single" w:color="000000" w:sz="4" w:space="0"/>
            </w:tcBorders>
            <w:vAlign w:val="center"/>
          </w:tcPr>
          <w:p w14:paraId="4E0C032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5024992.151 </w:t>
            </w:r>
          </w:p>
        </w:tc>
        <w:tc>
          <w:tcPr>
            <w:tcW w:w="3066" w:type="dxa"/>
            <w:tcBorders>
              <w:top w:val="single" w:color="000000" w:sz="4" w:space="0"/>
              <w:left w:val="single" w:color="000000" w:sz="4" w:space="0"/>
              <w:bottom w:val="single" w:color="000000" w:sz="4" w:space="0"/>
              <w:right w:val="single" w:color="000000" w:sz="12" w:space="0"/>
            </w:tcBorders>
            <w:vAlign w:val="center"/>
          </w:tcPr>
          <w:p w14:paraId="61E22B5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44456250.690 </w:t>
            </w:r>
          </w:p>
        </w:tc>
      </w:tr>
      <w:tr w14:paraId="345C0852">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6C624BA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27F8457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17</w:t>
            </w:r>
          </w:p>
        </w:tc>
        <w:tc>
          <w:tcPr>
            <w:tcW w:w="2683" w:type="dxa"/>
            <w:tcBorders>
              <w:top w:val="single" w:color="000000" w:sz="4" w:space="0"/>
              <w:left w:val="single" w:color="000000" w:sz="4" w:space="0"/>
              <w:bottom w:val="single" w:color="000000" w:sz="4" w:space="0"/>
              <w:right w:val="single" w:color="000000" w:sz="4" w:space="0"/>
            </w:tcBorders>
            <w:vAlign w:val="center"/>
          </w:tcPr>
          <w:p w14:paraId="5D7F65A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5024991.380 </w:t>
            </w:r>
          </w:p>
        </w:tc>
        <w:tc>
          <w:tcPr>
            <w:tcW w:w="3066" w:type="dxa"/>
            <w:tcBorders>
              <w:top w:val="single" w:color="000000" w:sz="4" w:space="0"/>
              <w:left w:val="single" w:color="000000" w:sz="4" w:space="0"/>
              <w:bottom w:val="single" w:color="000000" w:sz="4" w:space="0"/>
              <w:right w:val="single" w:color="000000" w:sz="12" w:space="0"/>
            </w:tcBorders>
            <w:vAlign w:val="center"/>
          </w:tcPr>
          <w:p w14:paraId="0FF50F8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44456236.061 </w:t>
            </w:r>
          </w:p>
        </w:tc>
      </w:tr>
      <w:tr w14:paraId="142EED2A">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352A3C5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6C1BCD2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18</w:t>
            </w:r>
          </w:p>
        </w:tc>
        <w:tc>
          <w:tcPr>
            <w:tcW w:w="2683" w:type="dxa"/>
            <w:tcBorders>
              <w:top w:val="single" w:color="000000" w:sz="4" w:space="0"/>
              <w:left w:val="single" w:color="000000" w:sz="4" w:space="0"/>
              <w:bottom w:val="single" w:color="000000" w:sz="4" w:space="0"/>
              <w:right w:val="single" w:color="000000" w:sz="4" w:space="0"/>
            </w:tcBorders>
            <w:vAlign w:val="center"/>
          </w:tcPr>
          <w:p w14:paraId="3FAEA7F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5024926.402 </w:t>
            </w:r>
          </w:p>
        </w:tc>
        <w:tc>
          <w:tcPr>
            <w:tcW w:w="3066" w:type="dxa"/>
            <w:tcBorders>
              <w:top w:val="single" w:color="000000" w:sz="4" w:space="0"/>
              <w:left w:val="single" w:color="000000" w:sz="4" w:space="0"/>
              <w:bottom w:val="single" w:color="000000" w:sz="4" w:space="0"/>
              <w:right w:val="single" w:color="000000" w:sz="12" w:space="0"/>
            </w:tcBorders>
            <w:vAlign w:val="center"/>
          </w:tcPr>
          <w:p w14:paraId="30997D6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44456223.704 </w:t>
            </w:r>
          </w:p>
        </w:tc>
      </w:tr>
      <w:tr w14:paraId="207B93CC">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1F3721B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5128E58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19</w:t>
            </w:r>
          </w:p>
        </w:tc>
        <w:tc>
          <w:tcPr>
            <w:tcW w:w="2683" w:type="dxa"/>
            <w:tcBorders>
              <w:top w:val="single" w:color="000000" w:sz="4" w:space="0"/>
              <w:left w:val="single" w:color="000000" w:sz="4" w:space="0"/>
              <w:bottom w:val="single" w:color="000000" w:sz="4" w:space="0"/>
              <w:right w:val="single" w:color="000000" w:sz="4" w:space="0"/>
            </w:tcBorders>
            <w:vAlign w:val="center"/>
          </w:tcPr>
          <w:p w14:paraId="14052E7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5024892.602 </w:t>
            </w:r>
          </w:p>
        </w:tc>
        <w:tc>
          <w:tcPr>
            <w:tcW w:w="3066" w:type="dxa"/>
            <w:tcBorders>
              <w:top w:val="single" w:color="000000" w:sz="4" w:space="0"/>
              <w:left w:val="single" w:color="000000" w:sz="4" w:space="0"/>
              <w:bottom w:val="single" w:color="000000" w:sz="4" w:space="0"/>
              <w:right w:val="single" w:color="000000" w:sz="12" w:space="0"/>
            </w:tcBorders>
            <w:vAlign w:val="center"/>
          </w:tcPr>
          <w:p w14:paraId="7B3F759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44456215.916 </w:t>
            </w:r>
          </w:p>
        </w:tc>
      </w:tr>
      <w:tr w14:paraId="6DD4F029">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3F0F622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0A0C7AD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20</w:t>
            </w:r>
          </w:p>
        </w:tc>
        <w:tc>
          <w:tcPr>
            <w:tcW w:w="2683" w:type="dxa"/>
            <w:tcBorders>
              <w:top w:val="single" w:color="000000" w:sz="4" w:space="0"/>
              <w:left w:val="single" w:color="000000" w:sz="4" w:space="0"/>
              <w:bottom w:val="single" w:color="000000" w:sz="4" w:space="0"/>
              <w:right w:val="single" w:color="000000" w:sz="4" w:space="0"/>
            </w:tcBorders>
            <w:vAlign w:val="center"/>
          </w:tcPr>
          <w:p w14:paraId="3F11520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5024850.306 </w:t>
            </w:r>
          </w:p>
        </w:tc>
        <w:tc>
          <w:tcPr>
            <w:tcW w:w="3066" w:type="dxa"/>
            <w:tcBorders>
              <w:top w:val="single" w:color="000000" w:sz="4" w:space="0"/>
              <w:left w:val="single" w:color="000000" w:sz="4" w:space="0"/>
              <w:bottom w:val="single" w:color="000000" w:sz="4" w:space="0"/>
              <w:right w:val="single" w:color="000000" w:sz="12" w:space="0"/>
            </w:tcBorders>
            <w:vAlign w:val="center"/>
          </w:tcPr>
          <w:p w14:paraId="358A20E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44456165.577 </w:t>
            </w:r>
          </w:p>
        </w:tc>
      </w:tr>
      <w:tr w14:paraId="1B32B0EB">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4812CCB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1C2A94B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21</w:t>
            </w:r>
          </w:p>
        </w:tc>
        <w:tc>
          <w:tcPr>
            <w:tcW w:w="2683" w:type="dxa"/>
            <w:tcBorders>
              <w:top w:val="single" w:color="000000" w:sz="4" w:space="0"/>
              <w:left w:val="single" w:color="000000" w:sz="4" w:space="0"/>
              <w:bottom w:val="single" w:color="000000" w:sz="4" w:space="0"/>
              <w:right w:val="single" w:color="000000" w:sz="4" w:space="0"/>
            </w:tcBorders>
            <w:vAlign w:val="center"/>
          </w:tcPr>
          <w:p w14:paraId="62471B2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5024806.890 </w:t>
            </w:r>
          </w:p>
        </w:tc>
        <w:tc>
          <w:tcPr>
            <w:tcW w:w="3066" w:type="dxa"/>
            <w:tcBorders>
              <w:top w:val="single" w:color="000000" w:sz="4" w:space="0"/>
              <w:left w:val="single" w:color="000000" w:sz="4" w:space="0"/>
              <w:bottom w:val="single" w:color="000000" w:sz="4" w:space="0"/>
              <w:right w:val="single" w:color="000000" w:sz="12" w:space="0"/>
            </w:tcBorders>
            <w:vAlign w:val="center"/>
          </w:tcPr>
          <w:p w14:paraId="7F44A07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44456134.419 </w:t>
            </w:r>
          </w:p>
        </w:tc>
      </w:tr>
      <w:tr w14:paraId="11713E88">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1D799C2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2794B5E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22</w:t>
            </w:r>
          </w:p>
        </w:tc>
        <w:tc>
          <w:tcPr>
            <w:tcW w:w="2683" w:type="dxa"/>
            <w:tcBorders>
              <w:top w:val="single" w:color="000000" w:sz="4" w:space="0"/>
              <w:left w:val="single" w:color="000000" w:sz="4" w:space="0"/>
              <w:bottom w:val="single" w:color="000000" w:sz="4" w:space="0"/>
              <w:right w:val="single" w:color="000000" w:sz="4" w:space="0"/>
            </w:tcBorders>
            <w:vAlign w:val="center"/>
          </w:tcPr>
          <w:p w14:paraId="284AE75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5024763.750 </w:t>
            </w:r>
          </w:p>
        </w:tc>
        <w:tc>
          <w:tcPr>
            <w:tcW w:w="3066" w:type="dxa"/>
            <w:tcBorders>
              <w:top w:val="single" w:color="000000" w:sz="4" w:space="0"/>
              <w:left w:val="single" w:color="000000" w:sz="4" w:space="0"/>
              <w:bottom w:val="single" w:color="000000" w:sz="4" w:space="0"/>
              <w:right w:val="single" w:color="000000" w:sz="12" w:space="0"/>
            </w:tcBorders>
            <w:vAlign w:val="center"/>
          </w:tcPr>
          <w:p w14:paraId="3A720D6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44456119.066 </w:t>
            </w:r>
          </w:p>
        </w:tc>
      </w:tr>
      <w:tr w14:paraId="5AAD98A2">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17F448F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0E156FE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23</w:t>
            </w:r>
          </w:p>
        </w:tc>
        <w:tc>
          <w:tcPr>
            <w:tcW w:w="2683" w:type="dxa"/>
            <w:tcBorders>
              <w:top w:val="single" w:color="000000" w:sz="4" w:space="0"/>
              <w:left w:val="single" w:color="000000" w:sz="4" w:space="0"/>
              <w:bottom w:val="single" w:color="000000" w:sz="4" w:space="0"/>
              <w:right w:val="single" w:color="000000" w:sz="4" w:space="0"/>
            </w:tcBorders>
            <w:vAlign w:val="center"/>
          </w:tcPr>
          <w:p w14:paraId="0E24D65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5024687.791 </w:t>
            </w:r>
          </w:p>
        </w:tc>
        <w:tc>
          <w:tcPr>
            <w:tcW w:w="3066" w:type="dxa"/>
            <w:tcBorders>
              <w:top w:val="single" w:color="000000" w:sz="4" w:space="0"/>
              <w:left w:val="single" w:color="000000" w:sz="4" w:space="0"/>
              <w:bottom w:val="single" w:color="000000" w:sz="4" w:space="0"/>
              <w:right w:val="single" w:color="000000" w:sz="12" w:space="0"/>
            </w:tcBorders>
            <w:vAlign w:val="center"/>
          </w:tcPr>
          <w:p w14:paraId="15D5286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44456114.835 </w:t>
            </w:r>
          </w:p>
        </w:tc>
      </w:tr>
      <w:tr w14:paraId="7332CE06">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31A03C8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5C13D85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24</w:t>
            </w:r>
          </w:p>
        </w:tc>
        <w:tc>
          <w:tcPr>
            <w:tcW w:w="2683" w:type="dxa"/>
            <w:tcBorders>
              <w:top w:val="single" w:color="000000" w:sz="4" w:space="0"/>
              <w:left w:val="single" w:color="000000" w:sz="4" w:space="0"/>
              <w:bottom w:val="single" w:color="000000" w:sz="4" w:space="0"/>
              <w:right w:val="single" w:color="000000" w:sz="4" w:space="0"/>
            </w:tcBorders>
            <w:vAlign w:val="center"/>
          </w:tcPr>
          <w:p w14:paraId="62AA8B5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5024629.193 </w:t>
            </w:r>
          </w:p>
        </w:tc>
        <w:tc>
          <w:tcPr>
            <w:tcW w:w="3066" w:type="dxa"/>
            <w:tcBorders>
              <w:top w:val="single" w:color="000000" w:sz="4" w:space="0"/>
              <w:left w:val="single" w:color="000000" w:sz="4" w:space="0"/>
              <w:bottom w:val="single" w:color="000000" w:sz="4" w:space="0"/>
              <w:right w:val="single" w:color="000000" w:sz="12" w:space="0"/>
            </w:tcBorders>
            <w:vAlign w:val="center"/>
          </w:tcPr>
          <w:p w14:paraId="49A0D0B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44456119.957 </w:t>
            </w:r>
          </w:p>
        </w:tc>
      </w:tr>
      <w:tr w14:paraId="712B7EFA">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0B6A590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697250B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25</w:t>
            </w:r>
          </w:p>
        </w:tc>
        <w:tc>
          <w:tcPr>
            <w:tcW w:w="2683" w:type="dxa"/>
            <w:tcBorders>
              <w:top w:val="single" w:color="000000" w:sz="4" w:space="0"/>
              <w:left w:val="single" w:color="000000" w:sz="4" w:space="0"/>
              <w:bottom w:val="single" w:color="000000" w:sz="4" w:space="0"/>
              <w:right w:val="single" w:color="000000" w:sz="4" w:space="0"/>
            </w:tcBorders>
            <w:vAlign w:val="center"/>
          </w:tcPr>
          <w:p w14:paraId="434D5CC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5024587.368 </w:t>
            </w:r>
          </w:p>
        </w:tc>
        <w:tc>
          <w:tcPr>
            <w:tcW w:w="3066" w:type="dxa"/>
            <w:tcBorders>
              <w:top w:val="single" w:color="000000" w:sz="4" w:space="0"/>
              <w:left w:val="single" w:color="000000" w:sz="4" w:space="0"/>
              <w:bottom w:val="single" w:color="000000" w:sz="4" w:space="0"/>
              <w:right w:val="single" w:color="000000" w:sz="12" w:space="0"/>
            </w:tcBorders>
            <w:vAlign w:val="center"/>
          </w:tcPr>
          <w:p w14:paraId="4BF5898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44456137.403 </w:t>
            </w:r>
          </w:p>
        </w:tc>
      </w:tr>
      <w:tr w14:paraId="48B627EA">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0AF0585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382374A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26</w:t>
            </w:r>
          </w:p>
        </w:tc>
        <w:tc>
          <w:tcPr>
            <w:tcW w:w="2683" w:type="dxa"/>
            <w:tcBorders>
              <w:top w:val="single" w:color="000000" w:sz="4" w:space="0"/>
              <w:left w:val="single" w:color="000000" w:sz="4" w:space="0"/>
              <w:bottom w:val="single" w:color="000000" w:sz="4" w:space="0"/>
              <w:right w:val="single" w:color="000000" w:sz="4" w:space="0"/>
            </w:tcBorders>
            <w:vAlign w:val="center"/>
          </w:tcPr>
          <w:p w14:paraId="26B2BDF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5024573.507 </w:t>
            </w:r>
          </w:p>
        </w:tc>
        <w:tc>
          <w:tcPr>
            <w:tcW w:w="3066" w:type="dxa"/>
            <w:tcBorders>
              <w:top w:val="single" w:color="000000" w:sz="4" w:space="0"/>
              <w:left w:val="single" w:color="000000" w:sz="4" w:space="0"/>
              <w:bottom w:val="single" w:color="000000" w:sz="4" w:space="0"/>
              <w:right w:val="single" w:color="000000" w:sz="12" w:space="0"/>
            </w:tcBorders>
            <w:vAlign w:val="center"/>
          </w:tcPr>
          <w:p w14:paraId="0F1CC15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44456200.032 </w:t>
            </w:r>
          </w:p>
        </w:tc>
      </w:tr>
      <w:tr w14:paraId="45C41ACE">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7E4B62C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14B9DA1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27</w:t>
            </w:r>
          </w:p>
        </w:tc>
        <w:tc>
          <w:tcPr>
            <w:tcW w:w="2683" w:type="dxa"/>
            <w:tcBorders>
              <w:top w:val="single" w:color="000000" w:sz="4" w:space="0"/>
              <w:left w:val="single" w:color="000000" w:sz="4" w:space="0"/>
              <w:bottom w:val="single" w:color="000000" w:sz="4" w:space="0"/>
              <w:right w:val="single" w:color="000000" w:sz="4" w:space="0"/>
            </w:tcBorders>
            <w:vAlign w:val="center"/>
          </w:tcPr>
          <w:p w14:paraId="7A049AD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5024572.983 </w:t>
            </w:r>
          </w:p>
        </w:tc>
        <w:tc>
          <w:tcPr>
            <w:tcW w:w="3066" w:type="dxa"/>
            <w:tcBorders>
              <w:top w:val="single" w:color="000000" w:sz="4" w:space="0"/>
              <w:left w:val="single" w:color="000000" w:sz="4" w:space="0"/>
              <w:bottom w:val="single" w:color="000000" w:sz="4" w:space="0"/>
              <w:right w:val="single" w:color="000000" w:sz="12" w:space="0"/>
            </w:tcBorders>
            <w:vAlign w:val="center"/>
          </w:tcPr>
          <w:p w14:paraId="7C25BB8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44456256.824 </w:t>
            </w:r>
          </w:p>
        </w:tc>
      </w:tr>
      <w:tr w14:paraId="1F53F0B1">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4DC32EA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4099999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28</w:t>
            </w:r>
          </w:p>
        </w:tc>
        <w:tc>
          <w:tcPr>
            <w:tcW w:w="2683" w:type="dxa"/>
            <w:tcBorders>
              <w:top w:val="single" w:color="000000" w:sz="4" w:space="0"/>
              <w:left w:val="single" w:color="000000" w:sz="4" w:space="0"/>
              <w:bottom w:val="single" w:color="000000" w:sz="4" w:space="0"/>
              <w:right w:val="single" w:color="000000" w:sz="4" w:space="0"/>
            </w:tcBorders>
            <w:vAlign w:val="center"/>
          </w:tcPr>
          <w:p w14:paraId="70A794D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5024634.175 </w:t>
            </w:r>
          </w:p>
        </w:tc>
        <w:tc>
          <w:tcPr>
            <w:tcW w:w="3066" w:type="dxa"/>
            <w:tcBorders>
              <w:top w:val="single" w:color="000000" w:sz="4" w:space="0"/>
              <w:left w:val="single" w:color="000000" w:sz="4" w:space="0"/>
              <w:bottom w:val="single" w:color="000000" w:sz="4" w:space="0"/>
              <w:right w:val="single" w:color="000000" w:sz="12" w:space="0"/>
            </w:tcBorders>
            <w:vAlign w:val="center"/>
          </w:tcPr>
          <w:p w14:paraId="35F6BDA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44456288.113 </w:t>
            </w:r>
          </w:p>
        </w:tc>
      </w:tr>
      <w:tr w14:paraId="327D1E7B">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67711AF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4BCD030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29</w:t>
            </w:r>
          </w:p>
        </w:tc>
        <w:tc>
          <w:tcPr>
            <w:tcW w:w="2683" w:type="dxa"/>
            <w:tcBorders>
              <w:top w:val="single" w:color="000000" w:sz="4" w:space="0"/>
              <w:left w:val="single" w:color="000000" w:sz="4" w:space="0"/>
              <w:bottom w:val="single" w:color="000000" w:sz="4" w:space="0"/>
              <w:right w:val="single" w:color="000000" w:sz="4" w:space="0"/>
            </w:tcBorders>
            <w:vAlign w:val="center"/>
          </w:tcPr>
          <w:p w14:paraId="4AAC4F0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5024692.747 </w:t>
            </w:r>
          </w:p>
        </w:tc>
        <w:tc>
          <w:tcPr>
            <w:tcW w:w="3066" w:type="dxa"/>
            <w:tcBorders>
              <w:top w:val="single" w:color="000000" w:sz="4" w:space="0"/>
              <w:left w:val="single" w:color="000000" w:sz="4" w:space="0"/>
              <w:bottom w:val="single" w:color="000000" w:sz="4" w:space="0"/>
              <w:right w:val="single" w:color="000000" w:sz="12" w:space="0"/>
            </w:tcBorders>
            <w:vAlign w:val="center"/>
          </w:tcPr>
          <w:p w14:paraId="1AD529E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44456376.939 </w:t>
            </w:r>
          </w:p>
        </w:tc>
      </w:tr>
      <w:tr w14:paraId="42322B46">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4441B02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431D33C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30</w:t>
            </w:r>
          </w:p>
        </w:tc>
        <w:tc>
          <w:tcPr>
            <w:tcW w:w="2683" w:type="dxa"/>
            <w:tcBorders>
              <w:top w:val="single" w:color="000000" w:sz="4" w:space="0"/>
              <w:left w:val="single" w:color="000000" w:sz="4" w:space="0"/>
              <w:bottom w:val="single" w:color="000000" w:sz="4" w:space="0"/>
              <w:right w:val="single" w:color="000000" w:sz="4" w:space="0"/>
            </w:tcBorders>
            <w:vAlign w:val="center"/>
          </w:tcPr>
          <w:p w14:paraId="265ED61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5024730.349 </w:t>
            </w:r>
          </w:p>
        </w:tc>
        <w:tc>
          <w:tcPr>
            <w:tcW w:w="3066" w:type="dxa"/>
            <w:tcBorders>
              <w:top w:val="single" w:color="000000" w:sz="4" w:space="0"/>
              <w:left w:val="single" w:color="000000" w:sz="4" w:space="0"/>
              <w:bottom w:val="single" w:color="000000" w:sz="4" w:space="0"/>
              <w:right w:val="single" w:color="000000" w:sz="12" w:space="0"/>
            </w:tcBorders>
            <w:vAlign w:val="center"/>
          </w:tcPr>
          <w:p w14:paraId="65A89FE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44456440.234 </w:t>
            </w:r>
          </w:p>
        </w:tc>
      </w:tr>
      <w:tr w14:paraId="5362292C">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580892B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3E07040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31</w:t>
            </w:r>
          </w:p>
        </w:tc>
        <w:tc>
          <w:tcPr>
            <w:tcW w:w="2683" w:type="dxa"/>
            <w:tcBorders>
              <w:top w:val="single" w:color="000000" w:sz="4" w:space="0"/>
              <w:left w:val="single" w:color="000000" w:sz="4" w:space="0"/>
              <w:bottom w:val="single" w:color="000000" w:sz="4" w:space="0"/>
              <w:right w:val="single" w:color="000000" w:sz="4" w:space="0"/>
            </w:tcBorders>
            <w:vAlign w:val="center"/>
          </w:tcPr>
          <w:p w14:paraId="4D30318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5024825.311 </w:t>
            </w:r>
          </w:p>
        </w:tc>
        <w:tc>
          <w:tcPr>
            <w:tcW w:w="3066" w:type="dxa"/>
            <w:tcBorders>
              <w:top w:val="single" w:color="000000" w:sz="4" w:space="0"/>
              <w:left w:val="single" w:color="000000" w:sz="4" w:space="0"/>
              <w:bottom w:val="single" w:color="000000" w:sz="4" w:space="0"/>
              <w:right w:val="single" w:color="000000" w:sz="12" w:space="0"/>
            </w:tcBorders>
            <w:vAlign w:val="center"/>
          </w:tcPr>
          <w:p w14:paraId="1C2DA46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44456516.291 </w:t>
            </w:r>
          </w:p>
        </w:tc>
      </w:tr>
      <w:tr w14:paraId="7C3D6D4F">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0A41A92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091B601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32</w:t>
            </w:r>
          </w:p>
        </w:tc>
        <w:tc>
          <w:tcPr>
            <w:tcW w:w="2683" w:type="dxa"/>
            <w:tcBorders>
              <w:top w:val="single" w:color="000000" w:sz="4" w:space="0"/>
              <w:left w:val="single" w:color="000000" w:sz="4" w:space="0"/>
              <w:bottom w:val="single" w:color="000000" w:sz="4" w:space="0"/>
              <w:right w:val="single" w:color="000000" w:sz="4" w:space="0"/>
            </w:tcBorders>
            <w:vAlign w:val="center"/>
          </w:tcPr>
          <w:p w14:paraId="01B1154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5024852.085 </w:t>
            </w:r>
          </w:p>
        </w:tc>
        <w:tc>
          <w:tcPr>
            <w:tcW w:w="3066" w:type="dxa"/>
            <w:tcBorders>
              <w:top w:val="single" w:color="000000" w:sz="4" w:space="0"/>
              <w:left w:val="single" w:color="000000" w:sz="4" w:space="0"/>
              <w:bottom w:val="single" w:color="000000" w:sz="4" w:space="0"/>
              <w:right w:val="single" w:color="000000" w:sz="12" w:space="0"/>
            </w:tcBorders>
            <w:vAlign w:val="center"/>
          </w:tcPr>
          <w:p w14:paraId="7B1E091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44456526.089 </w:t>
            </w:r>
          </w:p>
        </w:tc>
      </w:tr>
      <w:tr w14:paraId="3239A74E">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37DD092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38B77F9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33</w:t>
            </w:r>
          </w:p>
        </w:tc>
        <w:tc>
          <w:tcPr>
            <w:tcW w:w="2683" w:type="dxa"/>
            <w:tcBorders>
              <w:top w:val="single" w:color="000000" w:sz="4" w:space="0"/>
              <w:left w:val="single" w:color="000000" w:sz="4" w:space="0"/>
              <w:bottom w:val="single" w:color="000000" w:sz="4" w:space="0"/>
              <w:right w:val="single" w:color="000000" w:sz="4" w:space="0"/>
            </w:tcBorders>
            <w:vAlign w:val="center"/>
          </w:tcPr>
          <w:p w14:paraId="7F653F7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5024906.018 </w:t>
            </w:r>
          </w:p>
        </w:tc>
        <w:tc>
          <w:tcPr>
            <w:tcW w:w="3066" w:type="dxa"/>
            <w:tcBorders>
              <w:top w:val="single" w:color="000000" w:sz="4" w:space="0"/>
              <w:left w:val="single" w:color="000000" w:sz="4" w:space="0"/>
              <w:bottom w:val="single" w:color="000000" w:sz="4" w:space="0"/>
              <w:right w:val="single" w:color="000000" w:sz="12" w:space="0"/>
            </w:tcBorders>
            <w:vAlign w:val="center"/>
          </w:tcPr>
          <w:p w14:paraId="23C1A20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44456526.071 </w:t>
            </w:r>
          </w:p>
        </w:tc>
      </w:tr>
      <w:tr w14:paraId="6EEA5639">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152CA4C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1C3BDCA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34</w:t>
            </w:r>
          </w:p>
        </w:tc>
        <w:tc>
          <w:tcPr>
            <w:tcW w:w="2683" w:type="dxa"/>
            <w:tcBorders>
              <w:top w:val="single" w:color="000000" w:sz="4" w:space="0"/>
              <w:left w:val="single" w:color="000000" w:sz="4" w:space="0"/>
              <w:bottom w:val="single" w:color="000000" w:sz="4" w:space="0"/>
              <w:right w:val="single" w:color="000000" w:sz="4" w:space="0"/>
            </w:tcBorders>
            <w:vAlign w:val="center"/>
          </w:tcPr>
          <w:p w14:paraId="3E54238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5024862.438 </w:t>
            </w:r>
          </w:p>
        </w:tc>
        <w:tc>
          <w:tcPr>
            <w:tcW w:w="3066" w:type="dxa"/>
            <w:tcBorders>
              <w:top w:val="single" w:color="000000" w:sz="4" w:space="0"/>
              <w:left w:val="single" w:color="000000" w:sz="4" w:space="0"/>
              <w:bottom w:val="single" w:color="000000" w:sz="4" w:space="0"/>
              <w:right w:val="single" w:color="000000" w:sz="12" w:space="0"/>
            </w:tcBorders>
            <w:vAlign w:val="center"/>
          </w:tcPr>
          <w:p w14:paraId="22BA68D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44456537.060 </w:t>
            </w:r>
          </w:p>
        </w:tc>
      </w:tr>
      <w:tr w14:paraId="7A7D0D9B">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38CADE6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56BEEF0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35</w:t>
            </w:r>
          </w:p>
        </w:tc>
        <w:tc>
          <w:tcPr>
            <w:tcW w:w="2683" w:type="dxa"/>
            <w:tcBorders>
              <w:top w:val="single" w:color="000000" w:sz="4" w:space="0"/>
              <w:left w:val="single" w:color="000000" w:sz="4" w:space="0"/>
              <w:bottom w:val="single" w:color="000000" w:sz="4" w:space="0"/>
              <w:right w:val="single" w:color="000000" w:sz="4" w:space="0"/>
            </w:tcBorders>
            <w:vAlign w:val="center"/>
          </w:tcPr>
          <w:p w14:paraId="6FB104D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5024850.304 </w:t>
            </w:r>
          </w:p>
        </w:tc>
        <w:tc>
          <w:tcPr>
            <w:tcW w:w="3066" w:type="dxa"/>
            <w:tcBorders>
              <w:top w:val="single" w:color="000000" w:sz="4" w:space="0"/>
              <w:left w:val="single" w:color="000000" w:sz="4" w:space="0"/>
              <w:bottom w:val="single" w:color="000000" w:sz="4" w:space="0"/>
              <w:right w:val="single" w:color="000000" w:sz="12" w:space="0"/>
            </w:tcBorders>
            <w:vAlign w:val="center"/>
          </w:tcPr>
          <w:p w14:paraId="1286D1D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44456536.740 </w:t>
            </w:r>
          </w:p>
        </w:tc>
      </w:tr>
      <w:tr w14:paraId="53AED088">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0DE3D44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7E78571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36</w:t>
            </w:r>
          </w:p>
        </w:tc>
        <w:tc>
          <w:tcPr>
            <w:tcW w:w="2683" w:type="dxa"/>
            <w:tcBorders>
              <w:top w:val="single" w:color="000000" w:sz="4" w:space="0"/>
              <w:left w:val="single" w:color="000000" w:sz="4" w:space="0"/>
              <w:bottom w:val="single" w:color="000000" w:sz="4" w:space="0"/>
              <w:right w:val="single" w:color="000000" w:sz="4" w:space="0"/>
            </w:tcBorders>
            <w:vAlign w:val="center"/>
          </w:tcPr>
          <w:p w14:paraId="58BD9A2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5024825.354 </w:t>
            </w:r>
          </w:p>
        </w:tc>
        <w:tc>
          <w:tcPr>
            <w:tcW w:w="3066" w:type="dxa"/>
            <w:tcBorders>
              <w:top w:val="single" w:color="000000" w:sz="4" w:space="0"/>
              <w:left w:val="single" w:color="000000" w:sz="4" w:space="0"/>
              <w:bottom w:val="single" w:color="000000" w:sz="4" w:space="0"/>
              <w:right w:val="single" w:color="000000" w:sz="12" w:space="0"/>
            </w:tcBorders>
            <w:vAlign w:val="center"/>
          </w:tcPr>
          <w:p w14:paraId="5D2768E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44456528.503 </w:t>
            </w:r>
          </w:p>
        </w:tc>
      </w:tr>
      <w:tr w14:paraId="0A2E7ECA">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63237CD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50AF0A3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37</w:t>
            </w:r>
          </w:p>
        </w:tc>
        <w:tc>
          <w:tcPr>
            <w:tcW w:w="2683" w:type="dxa"/>
            <w:tcBorders>
              <w:top w:val="single" w:color="000000" w:sz="4" w:space="0"/>
              <w:left w:val="single" w:color="000000" w:sz="4" w:space="0"/>
              <w:bottom w:val="single" w:color="000000" w:sz="4" w:space="0"/>
              <w:right w:val="single" w:color="000000" w:sz="4" w:space="0"/>
            </w:tcBorders>
            <w:vAlign w:val="center"/>
          </w:tcPr>
          <w:p w14:paraId="4116094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5024761.215 </w:t>
            </w:r>
          </w:p>
        </w:tc>
        <w:tc>
          <w:tcPr>
            <w:tcW w:w="3066" w:type="dxa"/>
            <w:tcBorders>
              <w:top w:val="single" w:color="000000" w:sz="4" w:space="0"/>
              <w:left w:val="single" w:color="000000" w:sz="4" w:space="0"/>
              <w:bottom w:val="single" w:color="000000" w:sz="4" w:space="0"/>
              <w:right w:val="single" w:color="000000" w:sz="12" w:space="0"/>
            </w:tcBorders>
            <w:vAlign w:val="center"/>
          </w:tcPr>
          <w:p w14:paraId="5AA0857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44456481.419 </w:t>
            </w:r>
          </w:p>
        </w:tc>
      </w:tr>
      <w:tr w14:paraId="3D8EE55A">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4653FE9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537FED2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38</w:t>
            </w:r>
          </w:p>
        </w:tc>
        <w:tc>
          <w:tcPr>
            <w:tcW w:w="2683" w:type="dxa"/>
            <w:tcBorders>
              <w:top w:val="single" w:color="000000" w:sz="4" w:space="0"/>
              <w:left w:val="single" w:color="000000" w:sz="4" w:space="0"/>
              <w:bottom w:val="single" w:color="000000" w:sz="4" w:space="0"/>
              <w:right w:val="single" w:color="000000" w:sz="4" w:space="0"/>
            </w:tcBorders>
            <w:vAlign w:val="center"/>
          </w:tcPr>
          <w:p w14:paraId="26137F5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5024716.815 </w:t>
            </w:r>
          </w:p>
        </w:tc>
        <w:tc>
          <w:tcPr>
            <w:tcW w:w="3066" w:type="dxa"/>
            <w:tcBorders>
              <w:top w:val="single" w:color="000000" w:sz="4" w:space="0"/>
              <w:left w:val="single" w:color="000000" w:sz="4" w:space="0"/>
              <w:bottom w:val="single" w:color="000000" w:sz="4" w:space="0"/>
              <w:right w:val="single" w:color="000000" w:sz="12" w:space="0"/>
            </w:tcBorders>
            <w:vAlign w:val="center"/>
          </w:tcPr>
          <w:p w14:paraId="7B51DC5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44456444.286 </w:t>
            </w:r>
          </w:p>
        </w:tc>
      </w:tr>
      <w:tr w14:paraId="17218A2B">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6496772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65EC414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39</w:t>
            </w:r>
          </w:p>
        </w:tc>
        <w:tc>
          <w:tcPr>
            <w:tcW w:w="2683" w:type="dxa"/>
            <w:tcBorders>
              <w:top w:val="single" w:color="000000" w:sz="4" w:space="0"/>
              <w:left w:val="single" w:color="000000" w:sz="4" w:space="0"/>
              <w:bottom w:val="single" w:color="000000" w:sz="4" w:space="0"/>
              <w:right w:val="single" w:color="000000" w:sz="4" w:space="0"/>
            </w:tcBorders>
            <w:vAlign w:val="center"/>
          </w:tcPr>
          <w:p w14:paraId="52AD539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5024635.366 </w:t>
            </w:r>
          </w:p>
        </w:tc>
        <w:tc>
          <w:tcPr>
            <w:tcW w:w="3066" w:type="dxa"/>
            <w:tcBorders>
              <w:top w:val="single" w:color="000000" w:sz="4" w:space="0"/>
              <w:left w:val="single" w:color="000000" w:sz="4" w:space="0"/>
              <w:bottom w:val="single" w:color="000000" w:sz="4" w:space="0"/>
              <w:right w:val="single" w:color="000000" w:sz="12" w:space="0"/>
            </w:tcBorders>
            <w:vAlign w:val="center"/>
          </w:tcPr>
          <w:p w14:paraId="29BBFEE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44456300.032 </w:t>
            </w:r>
          </w:p>
        </w:tc>
      </w:tr>
      <w:tr w14:paraId="69EA580A">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304CAE7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3BEFFC4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40</w:t>
            </w:r>
          </w:p>
        </w:tc>
        <w:tc>
          <w:tcPr>
            <w:tcW w:w="2683" w:type="dxa"/>
            <w:tcBorders>
              <w:top w:val="single" w:color="000000" w:sz="4" w:space="0"/>
              <w:left w:val="single" w:color="000000" w:sz="4" w:space="0"/>
              <w:bottom w:val="single" w:color="000000" w:sz="4" w:space="0"/>
              <w:right w:val="single" w:color="000000" w:sz="4" w:space="0"/>
            </w:tcBorders>
            <w:vAlign w:val="center"/>
          </w:tcPr>
          <w:p w14:paraId="1AA919D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5024560.724 </w:t>
            </w:r>
          </w:p>
        </w:tc>
        <w:tc>
          <w:tcPr>
            <w:tcW w:w="3066" w:type="dxa"/>
            <w:tcBorders>
              <w:top w:val="single" w:color="000000" w:sz="4" w:space="0"/>
              <w:left w:val="single" w:color="000000" w:sz="4" w:space="0"/>
              <w:bottom w:val="single" w:color="000000" w:sz="4" w:space="0"/>
              <w:right w:val="single" w:color="000000" w:sz="12" w:space="0"/>
            </w:tcBorders>
            <w:vAlign w:val="center"/>
          </w:tcPr>
          <w:p w14:paraId="3781E4D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44456262.294 </w:t>
            </w:r>
          </w:p>
        </w:tc>
      </w:tr>
      <w:tr w14:paraId="1DA6ACAB">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726B10C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3DE1EC3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41</w:t>
            </w:r>
          </w:p>
        </w:tc>
        <w:tc>
          <w:tcPr>
            <w:tcW w:w="2683" w:type="dxa"/>
            <w:tcBorders>
              <w:top w:val="single" w:color="000000" w:sz="4" w:space="0"/>
              <w:left w:val="single" w:color="000000" w:sz="4" w:space="0"/>
              <w:bottom w:val="single" w:color="000000" w:sz="4" w:space="0"/>
              <w:right w:val="single" w:color="000000" w:sz="4" w:space="0"/>
            </w:tcBorders>
            <w:vAlign w:val="center"/>
          </w:tcPr>
          <w:p w14:paraId="203CB80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5024560.175 </w:t>
            </w:r>
          </w:p>
        </w:tc>
        <w:tc>
          <w:tcPr>
            <w:tcW w:w="3066" w:type="dxa"/>
            <w:tcBorders>
              <w:top w:val="single" w:color="000000" w:sz="4" w:space="0"/>
              <w:left w:val="single" w:color="000000" w:sz="4" w:space="0"/>
              <w:bottom w:val="single" w:color="000000" w:sz="4" w:space="0"/>
              <w:right w:val="single" w:color="000000" w:sz="12" w:space="0"/>
            </w:tcBorders>
            <w:vAlign w:val="center"/>
          </w:tcPr>
          <w:p w14:paraId="70C7AA5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44456196.883 </w:t>
            </w:r>
          </w:p>
        </w:tc>
      </w:tr>
      <w:tr w14:paraId="72A8634C">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07D9295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7AE9D9A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42</w:t>
            </w:r>
          </w:p>
        </w:tc>
        <w:tc>
          <w:tcPr>
            <w:tcW w:w="2683" w:type="dxa"/>
            <w:tcBorders>
              <w:top w:val="single" w:color="000000" w:sz="4" w:space="0"/>
              <w:left w:val="single" w:color="000000" w:sz="4" w:space="0"/>
              <w:bottom w:val="single" w:color="000000" w:sz="4" w:space="0"/>
              <w:right w:val="single" w:color="000000" w:sz="4" w:space="0"/>
            </w:tcBorders>
            <w:vAlign w:val="center"/>
          </w:tcPr>
          <w:p w14:paraId="0BC8E6E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5024582.658 </w:t>
            </w:r>
          </w:p>
        </w:tc>
        <w:tc>
          <w:tcPr>
            <w:tcW w:w="3066" w:type="dxa"/>
            <w:tcBorders>
              <w:top w:val="single" w:color="000000" w:sz="4" w:space="0"/>
              <w:left w:val="single" w:color="000000" w:sz="4" w:space="0"/>
              <w:bottom w:val="single" w:color="000000" w:sz="4" w:space="0"/>
              <w:right w:val="single" w:color="000000" w:sz="12" w:space="0"/>
            </w:tcBorders>
            <w:vAlign w:val="center"/>
          </w:tcPr>
          <w:p w14:paraId="1789BD2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44456128.843 </w:t>
            </w:r>
          </w:p>
        </w:tc>
      </w:tr>
      <w:tr w14:paraId="73363444">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08FB0B0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088F30A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43</w:t>
            </w:r>
          </w:p>
        </w:tc>
        <w:tc>
          <w:tcPr>
            <w:tcW w:w="2683" w:type="dxa"/>
            <w:tcBorders>
              <w:top w:val="single" w:color="000000" w:sz="4" w:space="0"/>
              <w:left w:val="single" w:color="000000" w:sz="4" w:space="0"/>
              <w:bottom w:val="single" w:color="000000" w:sz="4" w:space="0"/>
              <w:right w:val="single" w:color="000000" w:sz="4" w:space="0"/>
            </w:tcBorders>
            <w:vAlign w:val="center"/>
          </w:tcPr>
          <w:p w14:paraId="6A610D0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5024625.871 </w:t>
            </w:r>
          </w:p>
        </w:tc>
        <w:tc>
          <w:tcPr>
            <w:tcW w:w="3066" w:type="dxa"/>
            <w:tcBorders>
              <w:top w:val="single" w:color="000000" w:sz="4" w:space="0"/>
              <w:left w:val="single" w:color="000000" w:sz="4" w:space="0"/>
              <w:bottom w:val="single" w:color="000000" w:sz="4" w:space="0"/>
              <w:right w:val="single" w:color="000000" w:sz="12" w:space="0"/>
            </w:tcBorders>
            <w:vAlign w:val="center"/>
          </w:tcPr>
          <w:p w14:paraId="3C78C8D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44456103.014 </w:t>
            </w:r>
          </w:p>
        </w:tc>
      </w:tr>
      <w:tr w14:paraId="11D2A2A4">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2F3DE44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573974B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44</w:t>
            </w:r>
          </w:p>
        </w:tc>
        <w:tc>
          <w:tcPr>
            <w:tcW w:w="2683" w:type="dxa"/>
            <w:tcBorders>
              <w:top w:val="single" w:color="000000" w:sz="4" w:space="0"/>
              <w:left w:val="single" w:color="000000" w:sz="4" w:space="0"/>
              <w:bottom w:val="single" w:color="000000" w:sz="4" w:space="0"/>
              <w:right w:val="single" w:color="000000" w:sz="4" w:space="0"/>
            </w:tcBorders>
            <w:vAlign w:val="center"/>
          </w:tcPr>
          <w:p w14:paraId="17A1C03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5024642.729 </w:t>
            </w:r>
          </w:p>
        </w:tc>
        <w:tc>
          <w:tcPr>
            <w:tcW w:w="3066" w:type="dxa"/>
            <w:tcBorders>
              <w:top w:val="single" w:color="000000" w:sz="4" w:space="0"/>
              <w:left w:val="single" w:color="000000" w:sz="4" w:space="0"/>
              <w:bottom w:val="single" w:color="000000" w:sz="4" w:space="0"/>
              <w:right w:val="single" w:color="000000" w:sz="12" w:space="0"/>
            </w:tcBorders>
            <w:vAlign w:val="center"/>
          </w:tcPr>
          <w:p w14:paraId="4AE19D1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44456101.091 </w:t>
            </w:r>
          </w:p>
        </w:tc>
      </w:tr>
      <w:tr w14:paraId="46BDBC20">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04E6437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3AE4CBE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45</w:t>
            </w:r>
          </w:p>
        </w:tc>
        <w:tc>
          <w:tcPr>
            <w:tcW w:w="2683" w:type="dxa"/>
            <w:tcBorders>
              <w:top w:val="single" w:color="000000" w:sz="4" w:space="0"/>
              <w:left w:val="single" w:color="000000" w:sz="4" w:space="0"/>
              <w:bottom w:val="single" w:color="000000" w:sz="4" w:space="0"/>
              <w:right w:val="single" w:color="000000" w:sz="4" w:space="0"/>
            </w:tcBorders>
            <w:vAlign w:val="center"/>
          </w:tcPr>
          <w:p w14:paraId="487F050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5024779.042 </w:t>
            </w:r>
          </w:p>
        </w:tc>
        <w:tc>
          <w:tcPr>
            <w:tcW w:w="3066" w:type="dxa"/>
            <w:tcBorders>
              <w:top w:val="single" w:color="000000" w:sz="4" w:space="0"/>
              <w:left w:val="single" w:color="000000" w:sz="4" w:space="0"/>
              <w:bottom w:val="single" w:color="000000" w:sz="4" w:space="0"/>
              <w:right w:val="single" w:color="000000" w:sz="12" w:space="0"/>
            </w:tcBorders>
            <w:vAlign w:val="center"/>
          </w:tcPr>
          <w:p w14:paraId="5F6E170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44456101.218 </w:t>
            </w:r>
          </w:p>
        </w:tc>
      </w:tr>
      <w:tr w14:paraId="1305FBB6">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6B0D596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096A946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46</w:t>
            </w:r>
          </w:p>
        </w:tc>
        <w:tc>
          <w:tcPr>
            <w:tcW w:w="2683" w:type="dxa"/>
            <w:tcBorders>
              <w:top w:val="single" w:color="000000" w:sz="4" w:space="0"/>
              <w:left w:val="single" w:color="000000" w:sz="4" w:space="0"/>
              <w:bottom w:val="single" w:color="000000" w:sz="4" w:space="0"/>
              <w:right w:val="single" w:color="000000" w:sz="4" w:space="0"/>
            </w:tcBorders>
            <w:vAlign w:val="center"/>
          </w:tcPr>
          <w:p w14:paraId="310AD09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5024807.729 </w:t>
            </w:r>
          </w:p>
        </w:tc>
        <w:tc>
          <w:tcPr>
            <w:tcW w:w="3066" w:type="dxa"/>
            <w:tcBorders>
              <w:top w:val="single" w:color="000000" w:sz="4" w:space="0"/>
              <w:left w:val="single" w:color="000000" w:sz="4" w:space="0"/>
              <w:bottom w:val="single" w:color="000000" w:sz="4" w:space="0"/>
              <w:right w:val="single" w:color="000000" w:sz="12" w:space="0"/>
            </w:tcBorders>
            <w:vAlign w:val="center"/>
          </w:tcPr>
          <w:p w14:paraId="10BFE3F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44456109.419 </w:t>
            </w:r>
          </w:p>
        </w:tc>
      </w:tr>
      <w:tr w14:paraId="07D6D855">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10057D3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51917AE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47</w:t>
            </w:r>
          </w:p>
        </w:tc>
        <w:tc>
          <w:tcPr>
            <w:tcW w:w="2683" w:type="dxa"/>
            <w:tcBorders>
              <w:top w:val="single" w:color="000000" w:sz="4" w:space="0"/>
              <w:left w:val="single" w:color="000000" w:sz="4" w:space="0"/>
              <w:bottom w:val="single" w:color="000000" w:sz="4" w:space="0"/>
              <w:right w:val="single" w:color="000000" w:sz="4" w:space="0"/>
            </w:tcBorders>
            <w:vAlign w:val="center"/>
          </w:tcPr>
          <w:p w14:paraId="4B7991D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5024848.168 </w:t>
            </w:r>
          </w:p>
        </w:tc>
        <w:tc>
          <w:tcPr>
            <w:tcW w:w="3066" w:type="dxa"/>
            <w:tcBorders>
              <w:top w:val="single" w:color="000000" w:sz="4" w:space="0"/>
              <w:left w:val="single" w:color="000000" w:sz="4" w:space="0"/>
              <w:bottom w:val="single" w:color="000000" w:sz="4" w:space="0"/>
              <w:right w:val="single" w:color="000000" w:sz="12" w:space="0"/>
            </w:tcBorders>
            <w:vAlign w:val="center"/>
          </w:tcPr>
          <w:p w14:paraId="0CF0B11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44456139.795 </w:t>
            </w:r>
          </w:p>
        </w:tc>
      </w:tr>
      <w:tr w14:paraId="60D5A830">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28F8F49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3134F1F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48</w:t>
            </w:r>
          </w:p>
        </w:tc>
        <w:tc>
          <w:tcPr>
            <w:tcW w:w="2683" w:type="dxa"/>
            <w:tcBorders>
              <w:top w:val="single" w:color="000000" w:sz="4" w:space="0"/>
              <w:left w:val="single" w:color="000000" w:sz="4" w:space="0"/>
              <w:bottom w:val="single" w:color="000000" w:sz="4" w:space="0"/>
              <w:right w:val="single" w:color="000000" w:sz="4" w:space="0"/>
            </w:tcBorders>
            <w:vAlign w:val="center"/>
          </w:tcPr>
          <w:p w14:paraId="66B2B65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5024875.087 </w:t>
            </w:r>
          </w:p>
        </w:tc>
        <w:tc>
          <w:tcPr>
            <w:tcW w:w="3066" w:type="dxa"/>
            <w:tcBorders>
              <w:top w:val="single" w:color="000000" w:sz="4" w:space="0"/>
              <w:left w:val="single" w:color="000000" w:sz="4" w:space="0"/>
              <w:bottom w:val="single" w:color="000000" w:sz="4" w:space="0"/>
              <w:right w:val="single" w:color="000000" w:sz="12" w:space="0"/>
            </w:tcBorders>
            <w:vAlign w:val="center"/>
          </w:tcPr>
          <w:p w14:paraId="4E9D2E2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44456168.379 </w:t>
            </w:r>
          </w:p>
        </w:tc>
      </w:tr>
      <w:tr w14:paraId="0BB65300">
        <w:tblPrEx>
          <w:tblCellMar>
            <w:top w:w="11" w:type="dxa"/>
            <w:left w:w="11" w:type="dxa"/>
            <w:bottom w:w="11" w:type="dxa"/>
            <w:right w:w="11" w:type="dxa"/>
          </w:tblCellMar>
        </w:tblPrEx>
        <w:trPr>
          <w:trHeight w:val="20" w:hRule="atLeast"/>
        </w:trPr>
        <w:tc>
          <w:tcPr>
            <w:tcW w:w="1808" w:type="dxa"/>
            <w:vMerge w:val="continue"/>
            <w:tcBorders>
              <w:left w:val="single" w:color="000000" w:sz="12" w:space="0"/>
              <w:bottom w:val="single" w:color="000000" w:sz="4" w:space="0"/>
              <w:right w:val="single" w:color="000000" w:sz="4" w:space="0"/>
            </w:tcBorders>
            <w:vAlign w:val="center"/>
          </w:tcPr>
          <w:p w14:paraId="2444E50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53A4B44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49</w:t>
            </w:r>
          </w:p>
        </w:tc>
        <w:tc>
          <w:tcPr>
            <w:tcW w:w="2683" w:type="dxa"/>
            <w:tcBorders>
              <w:top w:val="single" w:color="000000" w:sz="4" w:space="0"/>
              <w:left w:val="single" w:color="000000" w:sz="4" w:space="0"/>
              <w:bottom w:val="single" w:color="000000" w:sz="4" w:space="0"/>
              <w:right w:val="single" w:color="000000" w:sz="4" w:space="0"/>
            </w:tcBorders>
            <w:vAlign w:val="center"/>
          </w:tcPr>
          <w:p w14:paraId="7C1C49B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5024905.316 </w:t>
            </w:r>
          </w:p>
        </w:tc>
        <w:tc>
          <w:tcPr>
            <w:tcW w:w="3066" w:type="dxa"/>
            <w:tcBorders>
              <w:top w:val="single" w:color="000000" w:sz="4" w:space="0"/>
              <w:left w:val="single" w:color="000000" w:sz="4" w:space="0"/>
              <w:bottom w:val="single" w:color="000000" w:sz="4" w:space="0"/>
              <w:right w:val="single" w:color="000000" w:sz="12" w:space="0"/>
            </w:tcBorders>
            <w:vAlign w:val="center"/>
          </w:tcPr>
          <w:p w14:paraId="4AF6BFE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44456205.149 </w:t>
            </w:r>
          </w:p>
        </w:tc>
      </w:tr>
      <w:tr w14:paraId="5B0D2A61">
        <w:tblPrEx>
          <w:tblCellMar>
            <w:top w:w="11" w:type="dxa"/>
            <w:left w:w="11" w:type="dxa"/>
            <w:bottom w:w="11" w:type="dxa"/>
            <w:right w:w="11" w:type="dxa"/>
          </w:tblCellMar>
        </w:tblPrEx>
        <w:trPr>
          <w:trHeight w:val="20" w:hRule="atLeast"/>
        </w:trPr>
        <w:tc>
          <w:tcPr>
            <w:tcW w:w="1808" w:type="dxa"/>
            <w:vMerge w:val="restart"/>
            <w:tcBorders>
              <w:top w:val="single" w:color="auto" w:sz="4" w:space="0"/>
              <w:left w:val="single" w:color="000000" w:sz="12" w:space="0"/>
              <w:right w:val="single" w:color="000000" w:sz="4" w:space="0"/>
            </w:tcBorders>
            <w:vAlign w:val="center"/>
          </w:tcPr>
          <w:p w14:paraId="59E45C9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排土场</w:t>
            </w:r>
          </w:p>
        </w:tc>
        <w:tc>
          <w:tcPr>
            <w:tcW w:w="1587" w:type="dxa"/>
            <w:tcBorders>
              <w:top w:val="single" w:color="000000" w:sz="4" w:space="0"/>
              <w:left w:val="single" w:color="000000" w:sz="4" w:space="0"/>
              <w:bottom w:val="single" w:color="000000" w:sz="4" w:space="0"/>
              <w:right w:val="single" w:color="000000" w:sz="4" w:space="0"/>
            </w:tcBorders>
            <w:vAlign w:val="center"/>
          </w:tcPr>
          <w:p w14:paraId="09990DE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w:t>
            </w:r>
          </w:p>
        </w:tc>
        <w:tc>
          <w:tcPr>
            <w:tcW w:w="2683" w:type="dxa"/>
            <w:tcBorders>
              <w:top w:val="single" w:color="000000" w:sz="4" w:space="0"/>
              <w:left w:val="single" w:color="000000" w:sz="4" w:space="0"/>
              <w:bottom w:val="single" w:color="000000" w:sz="4" w:space="0"/>
              <w:right w:val="single" w:color="000000" w:sz="4" w:space="0"/>
            </w:tcBorders>
            <w:vAlign w:val="center"/>
          </w:tcPr>
          <w:p w14:paraId="531E310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5025040.213 </w:t>
            </w:r>
          </w:p>
        </w:tc>
        <w:tc>
          <w:tcPr>
            <w:tcW w:w="3066" w:type="dxa"/>
            <w:tcBorders>
              <w:top w:val="single" w:color="000000" w:sz="4" w:space="0"/>
              <w:left w:val="single" w:color="000000" w:sz="4" w:space="0"/>
              <w:bottom w:val="single" w:color="000000" w:sz="4" w:space="0"/>
              <w:right w:val="single" w:color="000000" w:sz="12" w:space="0"/>
            </w:tcBorders>
            <w:vAlign w:val="center"/>
          </w:tcPr>
          <w:p w14:paraId="74E0C7E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44456246.949 </w:t>
            </w:r>
          </w:p>
        </w:tc>
      </w:tr>
      <w:tr w14:paraId="594C65D0">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6163F1D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645A623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w:t>
            </w:r>
          </w:p>
        </w:tc>
        <w:tc>
          <w:tcPr>
            <w:tcW w:w="2683" w:type="dxa"/>
            <w:tcBorders>
              <w:top w:val="single" w:color="000000" w:sz="4" w:space="0"/>
              <w:left w:val="single" w:color="000000" w:sz="4" w:space="0"/>
              <w:bottom w:val="single" w:color="000000" w:sz="4" w:space="0"/>
              <w:right w:val="single" w:color="000000" w:sz="4" w:space="0"/>
            </w:tcBorders>
            <w:vAlign w:val="center"/>
          </w:tcPr>
          <w:p w14:paraId="52CEB02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5025061.302 </w:t>
            </w:r>
          </w:p>
        </w:tc>
        <w:tc>
          <w:tcPr>
            <w:tcW w:w="3066" w:type="dxa"/>
            <w:tcBorders>
              <w:top w:val="single" w:color="000000" w:sz="4" w:space="0"/>
              <w:left w:val="single" w:color="000000" w:sz="4" w:space="0"/>
              <w:bottom w:val="single" w:color="000000" w:sz="4" w:space="0"/>
              <w:right w:val="single" w:color="000000" w:sz="12" w:space="0"/>
            </w:tcBorders>
            <w:vAlign w:val="center"/>
          </w:tcPr>
          <w:p w14:paraId="0461B27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44456317.479 </w:t>
            </w:r>
          </w:p>
        </w:tc>
      </w:tr>
      <w:tr w14:paraId="699A9A23">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77687BF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2CA27FF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3</w:t>
            </w:r>
          </w:p>
        </w:tc>
        <w:tc>
          <w:tcPr>
            <w:tcW w:w="2683" w:type="dxa"/>
            <w:tcBorders>
              <w:top w:val="single" w:color="000000" w:sz="4" w:space="0"/>
              <w:left w:val="single" w:color="000000" w:sz="4" w:space="0"/>
              <w:bottom w:val="single" w:color="000000" w:sz="4" w:space="0"/>
              <w:right w:val="single" w:color="000000" w:sz="4" w:space="0"/>
            </w:tcBorders>
            <w:vAlign w:val="center"/>
          </w:tcPr>
          <w:p w14:paraId="578E017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5025055.017 </w:t>
            </w:r>
          </w:p>
        </w:tc>
        <w:tc>
          <w:tcPr>
            <w:tcW w:w="3066" w:type="dxa"/>
            <w:tcBorders>
              <w:top w:val="single" w:color="000000" w:sz="4" w:space="0"/>
              <w:left w:val="single" w:color="000000" w:sz="4" w:space="0"/>
              <w:bottom w:val="single" w:color="000000" w:sz="4" w:space="0"/>
              <w:right w:val="single" w:color="000000" w:sz="12" w:space="0"/>
            </w:tcBorders>
            <w:vAlign w:val="center"/>
          </w:tcPr>
          <w:p w14:paraId="6D1700E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44456335.758 </w:t>
            </w:r>
          </w:p>
        </w:tc>
      </w:tr>
      <w:tr w14:paraId="744302A7">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5868463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315B0D7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4</w:t>
            </w:r>
          </w:p>
        </w:tc>
        <w:tc>
          <w:tcPr>
            <w:tcW w:w="2683" w:type="dxa"/>
            <w:tcBorders>
              <w:top w:val="single" w:color="000000" w:sz="4" w:space="0"/>
              <w:left w:val="single" w:color="000000" w:sz="4" w:space="0"/>
              <w:bottom w:val="single" w:color="000000" w:sz="4" w:space="0"/>
              <w:right w:val="single" w:color="000000" w:sz="4" w:space="0"/>
            </w:tcBorders>
            <w:vAlign w:val="center"/>
          </w:tcPr>
          <w:p w14:paraId="72D5D66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5025037.841 </w:t>
            </w:r>
          </w:p>
        </w:tc>
        <w:tc>
          <w:tcPr>
            <w:tcW w:w="3066" w:type="dxa"/>
            <w:tcBorders>
              <w:top w:val="single" w:color="000000" w:sz="4" w:space="0"/>
              <w:left w:val="single" w:color="000000" w:sz="4" w:space="0"/>
              <w:bottom w:val="single" w:color="000000" w:sz="4" w:space="0"/>
              <w:right w:val="single" w:color="000000" w:sz="12" w:space="0"/>
            </w:tcBorders>
            <w:vAlign w:val="center"/>
          </w:tcPr>
          <w:p w14:paraId="3F24DFD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44456342.242 </w:t>
            </w:r>
          </w:p>
        </w:tc>
      </w:tr>
      <w:tr w14:paraId="234C4FC5">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2C275A3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0882178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5</w:t>
            </w:r>
          </w:p>
        </w:tc>
        <w:tc>
          <w:tcPr>
            <w:tcW w:w="2683" w:type="dxa"/>
            <w:tcBorders>
              <w:top w:val="single" w:color="000000" w:sz="4" w:space="0"/>
              <w:left w:val="single" w:color="000000" w:sz="4" w:space="0"/>
              <w:bottom w:val="single" w:color="000000" w:sz="4" w:space="0"/>
              <w:right w:val="single" w:color="000000" w:sz="4" w:space="0"/>
            </w:tcBorders>
            <w:vAlign w:val="center"/>
          </w:tcPr>
          <w:p w14:paraId="46904F2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5025022.226 </w:t>
            </w:r>
          </w:p>
        </w:tc>
        <w:tc>
          <w:tcPr>
            <w:tcW w:w="3066" w:type="dxa"/>
            <w:tcBorders>
              <w:top w:val="single" w:color="000000" w:sz="4" w:space="0"/>
              <w:left w:val="single" w:color="000000" w:sz="4" w:space="0"/>
              <w:bottom w:val="single" w:color="000000" w:sz="4" w:space="0"/>
              <w:right w:val="single" w:color="000000" w:sz="12" w:space="0"/>
            </w:tcBorders>
            <w:vAlign w:val="center"/>
          </w:tcPr>
          <w:p w14:paraId="0BC5C2B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44456332.567 </w:t>
            </w:r>
          </w:p>
        </w:tc>
      </w:tr>
      <w:tr w14:paraId="691030DC">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51CA160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2CBDF7E3">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6</w:t>
            </w:r>
          </w:p>
        </w:tc>
        <w:tc>
          <w:tcPr>
            <w:tcW w:w="2683" w:type="dxa"/>
            <w:tcBorders>
              <w:top w:val="single" w:color="000000" w:sz="4" w:space="0"/>
              <w:left w:val="single" w:color="000000" w:sz="4" w:space="0"/>
              <w:bottom w:val="single" w:color="000000" w:sz="4" w:space="0"/>
              <w:right w:val="single" w:color="000000" w:sz="4" w:space="0"/>
            </w:tcBorders>
            <w:vAlign w:val="center"/>
          </w:tcPr>
          <w:p w14:paraId="3C55081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5025013.091 </w:t>
            </w:r>
          </w:p>
        </w:tc>
        <w:tc>
          <w:tcPr>
            <w:tcW w:w="3066" w:type="dxa"/>
            <w:tcBorders>
              <w:top w:val="single" w:color="000000" w:sz="4" w:space="0"/>
              <w:left w:val="single" w:color="000000" w:sz="4" w:space="0"/>
              <w:bottom w:val="single" w:color="000000" w:sz="4" w:space="0"/>
              <w:right w:val="single" w:color="000000" w:sz="12" w:space="0"/>
            </w:tcBorders>
            <w:vAlign w:val="center"/>
          </w:tcPr>
          <w:p w14:paraId="67A7F2C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44456300.032 </w:t>
            </w:r>
          </w:p>
        </w:tc>
      </w:tr>
      <w:tr w14:paraId="6C473355">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2448E79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237090E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7</w:t>
            </w:r>
          </w:p>
        </w:tc>
        <w:tc>
          <w:tcPr>
            <w:tcW w:w="2683" w:type="dxa"/>
            <w:tcBorders>
              <w:top w:val="single" w:color="000000" w:sz="4" w:space="0"/>
              <w:left w:val="single" w:color="000000" w:sz="4" w:space="0"/>
              <w:bottom w:val="single" w:color="000000" w:sz="4" w:space="0"/>
              <w:right w:val="single" w:color="000000" w:sz="4" w:space="0"/>
            </w:tcBorders>
            <w:vAlign w:val="center"/>
          </w:tcPr>
          <w:p w14:paraId="6D1FAE0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5025007.473 </w:t>
            </w:r>
          </w:p>
        </w:tc>
        <w:tc>
          <w:tcPr>
            <w:tcW w:w="3066" w:type="dxa"/>
            <w:tcBorders>
              <w:top w:val="single" w:color="000000" w:sz="4" w:space="0"/>
              <w:left w:val="single" w:color="000000" w:sz="4" w:space="0"/>
              <w:bottom w:val="single" w:color="000000" w:sz="4" w:space="0"/>
              <w:right w:val="single" w:color="000000" w:sz="12" w:space="0"/>
            </w:tcBorders>
            <w:vAlign w:val="center"/>
          </w:tcPr>
          <w:p w14:paraId="41E5D21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44456256.752 </w:t>
            </w:r>
          </w:p>
        </w:tc>
      </w:tr>
      <w:tr w14:paraId="673D90BB">
        <w:tblPrEx>
          <w:tblCellMar>
            <w:top w:w="11" w:type="dxa"/>
            <w:left w:w="11" w:type="dxa"/>
            <w:bottom w:w="11" w:type="dxa"/>
            <w:right w:w="11" w:type="dxa"/>
          </w:tblCellMar>
        </w:tblPrEx>
        <w:trPr>
          <w:trHeight w:val="20" w:hRule="atLeast"/>
        </w:trPr>
        <w:tc>
          <w:tcPr>
            <w:tcW w:w="1808" w:type="dxa"/>
            <w:vMerge w:val="continue"/>
            <w:tcBorders>
              <w:left w:val="single" w:color="000000" w:sz="12" w:space="0"/>
              <w:right w:val="single" w:color="000000" w:sz="4" w:space="0"/>
            </w:tcBorders>
            <w:vAlign w:val="center"/>
          </w:tcPr>
          <w:p w14:paraId="638509C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4" w:space="0"/>
              <w:right w:val="single" w:color="000000" w:sz="4" w:space="0"/>
            </w:tcBorders>
            <w:vAlign w:val="center"/>
          </w:tcPr>
          <w:p w14:paraId="377F7A8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8</w:t>
            </w:r>
          </w:p>
        </w:tc>
        <w:tc>
          <w:tcPr>
            <w:tcW w:w="2683" w:type="dxa"/>
            <w:tcBorders>
              <w:top w:val="single" w:color="000000" w:sz="4" w:space="0"/>
              <w:left w:val="single" w:color="000000" w:sz="4" w:space="0"/>
              <w:bottom w:val="single" w:color="000000" w:sz="4" w:space="0"/>
              <w:right w:val="single" w:color="000000" w:sz="4" w:space="0"/>
            </w:tcBorders>
            <w:vAlign w:val="center"/>
          </w:tcPr>
          <w:p w14:paraId="36C0489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5025017.173 </w:t>
            </w:r>
          </w:p>
        </w:tc>
        <w:tc>
          <w:tcPr>
            <w:tcW w:w="3066" w:type="dxa"/>
            <w:tcBorders>
              <w:top w:val="single" w:color="000000" w:sz="4" w:space="0"/>
              <w:left w:val="single" w:color="000000" w:sz="4" w:space="0"/>
              <w:bottom w:val="single" w:color="000000" w:sz="4" w:space="0"/>
              <w:right w:val="single" w:color="000000" w:sz="12" w:space="0"/>
            </w:tcBorders>
            <w:vAlign w:val="center"/>
          </w:tcPr>
          <w:p w14:paraId="4F0C8AE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44456248.058 </w:t>
            </w:r>
          </w:p>
        </w:tc>
      </w:tr>
      <w:tr w14:paraId="0ABF7F89">
        <w:tblPrEx>
          <w:tblCellMar>
            <w:top w:w="11" w:type="dxa"/>
            <w:left w:w="11" w:type="dxa"/>
            <w:bottom w:w="11" w:type="dxa"/>
            <w:right w:w="11" w:type="dxa"/>
          </w:tblCellMar>
        </w:tblPrEx>
        <w:trPr>
          <w:trHeight w:val="20" w:hRule="atLeast"/>
        </w:trPr>
        <w:tc>
          <w:tcPr>
            <w:tcW w:w="1808" w:type="dxa"/>
            <w:vMerge w:val="continue"/>
            <w:tcBorders>
              <w:left w:val="single" w:color="000000" w:sz="12" w:space="0"/>
              <w:bottom w:val="single" w:color="000000" w:sz="12" w:space="0"/>
              <w:right w:val="single" w:color="000000" w:sz="4" w:space="0"/>
            </w:tcBorders>
            <w:vAlign w:val="center"/>
          </w:tcPr>
          <w:p w14:paraId="0F8718A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587" w:type="dxa"/>
            <w:tcBorders>
              <w:top w:val="single" w:color="000000" w:sz="4" w:space="0"/>
              <w:left w:val="single" w:color="000000" w:sz="4" w:space="0"/>
              <w:bottom w:val="single" w:color="000000" w:sz="12" w:space="0"/>
              <w:right w:val="single" w:color="000000" w:sz="4" w:space="0"/>
            </w:tcBorders>
            <w:vAlign w:val="center"/>
          </w:tcPr>
          <w:p w14:paraId="01A24DA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9</w:t>
            </w:r>
          </w:p>
        </w:tc>
        <w:tc>
          <w:tcPr>
            <w:tcW w:w="2683" w:type="dxa"/>
            <w:tcBorders>
              <w:top w:val="single" w:color="000000" w:sz="4" w:space="0"/>
              <w:left w:val="single" w:color="000000" w:sz="4" w:space="0"/>
              <w:bottom w:val="single" w:color="000000" w:sz="12" w:space="0"/>
              <w:right w:val="single" w:color="000000" w:sz="4" w:space="0"/>
            </w:tcBorders>
            <w:vAlign w:val="center"/>
          </w:tcPr>
          <w:p w14:paraId="3FA7EC5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5025024.869 </w:t>
            </w:r>
          </w:p>
        </w:tc>
        <w:tc>
          <w:tcPr>
            <w:tcW w:w="3066" w:type="dxa"/>
            <w:tcBorders>
              <w:top w:val="single" w:color="000000" w:sz="4" w:space="0"/>
              <w:left w:val="single" w:color="000000" w:sz="4" w:space="0"/>
              <w:bottom w:val="single" w:color="000000" w:sz="12" w:space="0"/>
              <w:right w:val="single" w:color="000000" w:sz="12" w:space="0"/>
            </w:tcBorders>
            <w:vAlign w:val="center"/>
          </w:tcPr>
          <w:p w14:paraId="7169D5D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 xml:space="preserve">44456241.161 </w:t>
            </w:r>
          </w:p>
        </w:tc>
      </w:tr>
    </w:tbl>
    <w:p w14:paraId="627A3288">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矿山应在开采的过程中对地质环境进行保护，做到边开采边治理，发现问题及时解决。依据该矿山开发利用方案，根据矿床整体赋存形态及开采规模要求，</w:t>
      </w:r>
      <w:r>
        <w:rPr>
          <w:rFonts w:ascii="Times New Roman" w:hAnsi="Times New Roman" w:cs="Times New Roman"/>
          <w:color w:val="000000" w:themeColor="text1"/>
          <w:spacing w:val="-5"/>
        </w:rPr>
        <w:t>开采顺序由上至下水平分台阶进行开采，采矿工作帮大致平行南北方向布置，由东向西推进</w:t>
      </w:r>
      <w:r>
        <w:rPr>
          <w:rFonts w:ascii="Times New Roman" w:hAnsi="Times New Roman" w:cs="Times New Roman"/>
          <w:color w:val="000000" w:themeColor="text1"/>
        </w:rPr>
        <w:t>。</w:t>
      </w:r>
    </w:p>
    <w:p w14:paraId="0D44EC6B">
      <w:pPr>
        <w:pStyle w:val="178"/>
        <w:topLinePunct/>
        <w:rPr>
          <w:rFonts w:ascii="Times New Roman" w:hAnsi="Times New Roman" w:cs="Times New Roman"/>
          <w:color w:val="E36C09" w:themeColor="accent6" w:themeShade="BF"/>
        </w:rPr>
      </w:pPr>
      <w:r>
        <w:rPr>
          <w:rFonts w:ascii="Times New Roman" w:hAnsi="Times New Roman" w:cs="Times New Roman"/>
          <w:color w:val="E36C09" w:themeColor="accent6" w:themeShade="BF"/>
        </w:rPr>
        <w:t>近期</w:t>
      </w:r>
      <w:r>
        <w:rPr>
          <w:rFonts w:hint="eastAsia" w:ascii="Times New Roman" w:hAnsi="Times New Roman" w:cs="Times New Roman"/>
          <w:color w:val="E36C09" w:themeColor="accent6" w:themeShade="BF"/>
          <w:lang w:val="en-US" w:eastAsia="zh-CN"/>
        </w:rPr>
        <w:t>（近5年）由于采区范围内无采空区，</w:t>
      </w:r>
      <w:r>
        <w:rPr>
          <w:rFonts w:ascii="Times New Roman" w:hAnsi="Times New Roman" w:cs="Times New Roman"/>
          <w:color w:val="E36C09" w:themeColor="accent6" w:themeShade="BF"/>
        </w:rPr>
        <w:t>主要是对露天采场进行</w:t>
      </w:r>
      <w:r>
        <w:rPr>
          <w:rFonts w:hint="eastAsia" w:ascii="Times New Roman" w:hAnsi="Times New Roman" w:cs="Times New Roman"/>
          <w:color w:val="E36C09" w:themeColor="accent6" w:themeShade="BF"/>
          <w:lang w:val="en-US" w:eastAsia="zh-CN"/>
        </w:rPr>
        <w:t>监测和边坡</w:t>
      </w:r>
      <w:r>
        <w:rPr>
          <w:rFonts w:ascii="Times New Roman" w:hAnsi="Times New Roman" w:cs="Times New Roman"/>
          <w:color w:val="E36C09" w:themeColor="accent6" w:themeShade="BF"/>
        </w:rPr>
        <w:t>治理</w:t>
      </w:r>
      <w:r>
        <w:rPr>
          <w:rFonts w:hint="eastAsia" w:ascii="Times New Roman" w:hAnsi="Times New Roman" w:cs="Times New Roman"/>
          <w:color w:val="E36C09" w:themeColor="accent6" w:themeShade="BF"/>
          <w:lang w:val="en-US" w:eastAsia="zh-CN"/>
        </w:rPr>
        <w:t>工作，不开展其他修复工作</w:t>
      </w:r>
      <w:r>
        <w:rPr>
          <w:rFonts w:ascii="Times New Roman" w:hAnsi="Times New Roman" w:cs="Times New Roman"/>
          <w:color w:val="E36C09" w:themeColor="accent6" w:themeShade="BF"/>
        </w:rPr>
        <w:t>。</w:t>
      </w:r>
    </w:p>
    <w:p w14:paraId="69191E85">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本方案初步设计如下（具体以矿山实际开采为准，本设计仅供参考）：</w:t>
      </w:r>
    </w:p>
    <w:p w14:paraId="49419F1C">
      <w:pPr>
        <w:pStyle w:val="182"/>
        <w:topLinePunct/>
        <w:rPr>
          <w:rFonts w:ascii="Times New Roman" w:hAnsi="Times New Roman"/>
          <w:color w:val="000000" w:themeColor="text1"/>
        </w:rPr>
      </w:pPr>
      <w:r>
        <w:rPr>
          <w:rFonts w:ascii="Times New Roman" w:hAnsi="Times New Roman"/>
          <w:color w:val="000000" w:themeColor="text1"/>
        </w:rPr>
        <w:t>表3-</w:t>
      </w:r>
      <w:r>
        <w:rPr>
          <w:rFonts w:hint="eastAsia" w:ascii="Times New Roman" w:hAnsi="Times New Roman"/>
          <w:color w:val="000000" w:themeColor="text1"/>
        </w:rPr>
        <w:t>20</w:t>
      </w:r>
      <w:r>
        <w:rPr>
          <w:rFonts w:ascii="Times New Roman" w:hAnsi="Times New Roman"/>
          <w:color w:val="000000" w:themeColor="text1"/>
        </w:rPr>
        <w:t>矿区生态修复分区实施时间表</w:t>
      </w:r>
    </w:p>
    <w:tbl>
      <w:tblPr>
        <w:tblStyle w:val="42"/>
        <w:tblW w:w="5032"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756"/>
        <w:gridCol w:w="1974"/>
        <w:gridCol w:w="6428"/>
      </w:tblGrid>
      <w:tr w14:paraId="7592F09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blHeader/>
        </w:trPr>
        <w:tc>
          <w:tcPr>
            <w:tcW w:w="2721" w:type="dxa"/>
            <w:gridSpan w:val="2"/>
            <w:tcBorders>
              <w:tl2br w:val="nil"/>
              <w:tr2bl w:val="nil"/>
            </w:tcBorders>
            <w:vAlign w:val="center"/>
          </w:tcPr>
          <w:p w14:paraId="08D9F43A">
            <w:pPr>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时间</w:t>
            </w:r>
          </w:p>
        </w:tc>
        <w:tc>
          <w:tcPr>
            <w:tcW w:w="6408" w:type="dxa"/>
            <w:tcBorders>
              <w:tl2br w:val="nil"/>
              <w:tr2bl w:val="nil"/>
            </w:tcBorders>
            <w:vAlign w:val="center"/>
          </w:tcPr>
          <w:p w14:paraId="34AFF1F9">
            <w:pPr>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目标任务安排</w:t>
            </w:r>
          </w:p>
        </w:tc>
      </w:tr>
      <w:tr w14:paraId="566FAC2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753" w:type="dxa"/>
            <w:tcBorders>
              <w:tl2br w:val="nil"/>
              <w:tr2bl w:val="nil"/>
            </w:tcBorders>
            <w:vAlign w:val="center"/>
          </w:tcPr>
          <w:p w14:paraId="1FE604E8">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近期实施计划</w:t>
            </w:r>
          </w:p>
        </w:tc>
        <w:tc>
          <w:tcPr>
            <w:tcW w:w="1968" w:type="dxa"/>
            <w:tcBorders>
              <w:tl2br w:val="nil"/>
              <w:tr2bl w:val="nil"/>
            </w:tcBorders>
            <w:vAlign w:val="center"/>
          </w:tcPr>
          <w:p w14:paraId="7DD3F98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2026年1月-2030年12月（开采期）</w:t>
            </w:r>
          </w:p>
        </w:tc>
        <w:tc>
          <w:tcPr>
            <w:tcW w:w="6408" w:type="dxa"/>
            <w:tcBorders>
              <w:tl2br w:val="nil"/>
              <w:tr2bl w:val="nil"/>
            </w:tcBorders>
            <w:vAlign w:val="center"/>
          </w:tcPr>
          <w:p w14:paraId="590B9844">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对露天采场周围设立警示牌。随着生产对露天采场开采，对采空区进行部分修复，对可进行修复的采空区进行地面清理平整、覆土、栽植常春藤、栽植乔木等措施</w:t>
            </w:r>
          </w:p>
        </w:tc>
      </w:tr>
      <w:tr w14:paraId="19BD378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753" w:type="dxa"/>
            <w:tcBorders>
              <w:tl2br w:val="nil"/>
              <w:tr2bl w:val="nil"/>
            </w:tcBorders>
            <w:shd w:val="clear" w:color="auto" w:fill="auto"/>
            <w:vAlign w:val="center"/>
          </w:tcPr>
          <w:p w14:paraId="26873A1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中期实施计划</w:t>
            </w:r>
          </w:p>
        </w:tc>
        <w:tc>
          <w:tcPr>
            <w:tcW w:w="1968" w:type="dxa"/>
            <w:tcBorders>
              <w:tl2br w:val="nil"/>
              <w:tr2bl w:val="nil"/>
            </w:tcBorders>
            <w:vAlign w:val="center"/>
          </w:tcPr>
          <w:p w14:paraId="1B3FFD52">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2031年1月-20</w:t>
            </w:r>
            <w:r>
              <w:rPr>
                <w:rFonts w:hint="eastAsia" w:ascii="Times New Roman" w:hAnsi="Times New Roman" w:cs="Times New Roman"/>
                <w:color w:val="000000" w:themeColor="text1"/>
                <w:kern w:val="0"/>
                <w:sz w:val="24"/>
                <w:szCs w:val="24"/>
              </w:rPr>
              <w:t>51</w:t>
            </w:r>
            <w:r>
              <w:rPr>
                <w:rFonts w:ascii="Times New Roman" w:hAnsi="Times New Roman" w:cs="Times New Roman"/>
                <w:color w:val="000000" w:themeColor="text1"/>
                <w:kern w:val="0"/>
                <w:sz w:val="24"/>
                <w:szCs w:val="24"/>
              </w:rPr>
              <w:t>年</w:t>
            </w:r>
            <w:r>
              <w:rPr>
                <w:rFonts w:hint="eastAsia" w:ascii="Times New Roman" w:hAnsi="Times New Roman" w:cs="Times New Roman"/>
                <w:color w:val="000000" w:themeColor="text1"/>
                <w:kern w:val="0"/>
                <w:sz w:val="24"/>
                <w:szCs w:val="24"/>
              </w:rPr>
              <w:t>12</w:t>
            </w:r>
            <w:r>
              <w:rPr>
                <w:rFonts w:ascii="Times New Roman" w:hAnsi="Times New Roman" w:cs="Times New Roman"/>
                <w:color w:val="000000" w:themeColor="text1"/>
                <w:kern w:val="0"/>
                <w:sz w:val="24"/>
                <w:szCs w:val="24"/>
              </w:rPr>
              <w:t>月（开采期）</w:t>
            </w:r>
          </w:p>
        </w:tc>
        <w:tc>
          <w:tcPr>
            <w:tcW w:w="6408" w:type="dxa"/>
            <w:tcBorders>
              <w:tl2br w:val="nil"/>
              <w:tr2bl w:val="nil"/>
            </w:tcBorders>
            <w:shd w:val="clear" w:color="auto" w:fill="auto"/>
            <w:vAlign w:val="center"/>
          </w:tcPr>
          <w:p w14:paraId="337FF15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对露天采场周围设立警示牌。随着生产对露天采场开采，对采空区进行部分修复，对可进行修复的采空区进行地面清理平整、覆土、栽植常春藤、栽植乔木措施</w:t>
            </w:r>
          </w:p>
        </w:tc>
      </w:tr>
      <w:tr w14:paraId="5FCC18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753" w:type="dxa"/>
            <w:tcBorders>
              <w:tl2br w:val="nil"/>
              <w:tr2bl w:val="nil"/>
            </w:tcBorders>
            <w:vAlign w:val="center"/>
          </w:tcPr>
          <w:p w14:paraId="0672BC78">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远期实施计划</w:t>
            </w:r>
          </w:p>
        </w:tc>
        <w:tc>
          <w:tcPr>
            <w:tcW w:w="1968" w:type="dxa"/>
            <w:tcBorders>
              <w:tl2br w:val="nil"/>
              <w:tr2bl w:val="nil"/>
            </w:tcBorders>
            <w:vAlign w:val="center"/>
          </w:tcPr>
          <w:p w14:paraId="13B44C85">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w:t>
            </w:r>
            <w:r>
              <w:rPr>
                <w:rFonts w:hint="eastAsia" w:ascii="Times New Roman" w:hAnsi="Times New Roman" w:cs="Times New Roman"/>
                <w:color w:val="000000" w:themeColor="text1"/>
                <w:kern w:val="0"/>
                <w:sz w:val="24"/>
                <w:szCs w:val="24"/>
              </w:rPr>
              <w:t>52</w:t>
            </w:r>
            <w:r>
              <w:rPr>
                <w:rFonts w:ascii="Times New Roman" w:hAnsi="Times New Roman" w:cs="Times New Roman"/>
                <w:color w:val="000000" w:themeColor="text1"/>
                <w:kern w:val="0"/>
                <w:sz w:val="24"/>
                <w:szCs w:val="24"/>
              </w:rPr>
              <w:t>月</w:t>
            </w:r>
            <w:r>
              <w:rPr>
                <w:rFonts w:hint="eastAsia"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rPr>
              <w:t>月-20</w:t>
            </w:r>
            <w:r>
              <w:rPr>
                <w:rFonts w:hint="eastAsia" w:ascii="Times New Roman" w:hAnsi="Times New Roman" w:cs="Times New Roman"/>
                <w:color w:val="000000" w:themeColor="text1"/>
                <w:kern w:val="0"/>
                <w:sz w:val="24"/>
                <w:szCs w:val="24"/>
              </w:rPr>
              <w:t>52</w:t>
            </w:r>
            <w:r>
              <w:rPr>
                <w:rFonts w:ascii="Times New Roman" w:hAnsi="Times New Roman" w:cs="Times New Roman"/>
                <w:color w:val="000000" w:themeColor="text1"/>
                <w:kern w:val="0"/>
                <w:sz w:val="24"/>
                <w:szCs w:val="24"/>
              </w:rPr>
              <w:t>年12月（闭矿期）</w:t>
            </w:r>
          </w:p>
        </w:tc>
        <w:tc>
          <w:tcPr>
            <w:tcW w:w="6408" w:type="dxa"/>
            <w:tcBorders>
              <w:tl2br w:val="nil"/>
              <w:tr2bl w:val="nil"/>
            </w:tcBorders>
            <w:vAlign w:val="center"/>
          </w:tcPr>
          <w:p w14:paraId="701AFEB2">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随着生产对露天采场开采，采矿进入终了阶段，闭矿后对露天采场底部合围区、开采平台、排土场全部进行修复，修复措施包括地面清理平整、覆土、栽植常春藤、栽植乔木等措施。</w:t>
            </w:r>
          </w:p>
        </w:tc>
      </w:tr>
    </w:tbl>
    <w:p w14:paraId="3808C818">
      <w:pPr>
        <w:pStyle w:val="178"/>
        <w:topLinePunct/>
        <w:rPr>
          <w:rFonts w:ascii="Times New Roman" w:hAnsi="Times New Roman" w:cs="Times New Roman"/>
          <w:color w:val="000000" w:themeColor="text1"/>
        </w:rPr>
      </w:pPr>
      <w:r>
        <w:rPr>
          <w:rFonts w:ascii="Times New Roman" w:hAnsi="Times New Roman" w:cs="Times New Roman"/>
          <w:color w:val="000000" w:themeColor="text1"/>
        </w:rPr>
        <w:t>生态修复分区见图3-4。</w:t>
      </w:r>
    </w:p>
    <w:p w14:paraId="41EAC29E">
      <w:pPr>
        <w:spacing w:before="8" w:line="240" w:lineRule="auto"/>
        <w:jc w:val="center"/>
        <w:rPr>
          <w:rFonts w:ascii="Times New Roman" w:hAnsi="Times New Roman" w:cs="Times New Roman"/>
          <w:color w:val="000000" w:themeColor="text1"/>
          <w:sz w:val="33"/>
          <w:szCs w:val="33"/>
        </w:rPr>
      </w:pPr>
      <w:r>
        <w:rPr>
          <w:rFonts w:ascii="Times New Roman" w:hAnsi="Times New Roman" w:cs="Times New Roman"/>
          <w:color w:val="000000" w:themeColor="text1"/>
          <w:sz w:val="33"/>
          <w:szCs w:val="33"/>
        </w:rPr>
        <w:drawing>
          <wp:inline distT="0" distB="0" distL="114300" distR="114300">
            <wp:extent cx="5756910" cy="5756910"/>
            <wp:effectExtent l="0" t="0" r="15240" b="15240"/>
            <wp:docPr id="14" name="图片 14" descr="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66"/>
                    <pic:cNvPicPr>
                      <a:picLocks noChangeAspect="1"/>
                    </pic:cNvPicPr>
                  </pic:nvPicPr>
                  <pic:blipFill>
                    <a:blip r:embed="rId20"/>
                    <a:stretch>
                      <a:fillRect/>
                    </a:stretch>
                  </pic:blipFill>
                  <pic:spPr>
                    <a:xfrm>
                      <a:off x="0" y="0"/>
                      <a:ext cx="5756910" cy="5756910"/>
                    </a:xfrm>
                    <a:prstGeom prst="rect">
                      <a:avLst/>
                    </a:prstGeom>
                  </pic:spPr>
                </pic:pic>
              </a:graphicData>
            </a:graphic>
          </wp:inline>
        </w:drawing>
      </w:r>
    </w:p>
    <w:p w14:paraId="70171AC9">
      <w:pPr>
        <w:pStyle w:val="182"/>
        <w:topLinePunct/>
        <w:rPr>
          <w:rFonts w:ascii="Times New Roman" w:hAnsi="Times New Roman"/>
          <w:color w:val="000000" w:themeColor="text1"/>
        </w:rPr>
      </w:pPr>
      <w:r>
        <w:rPr>
          <w:rFonts w:ascii="Times New Roman" w:hAnsi="Times New Roman"/>
          <w:color w:val="000000" w:themeColor="text1"/>
        </w:rPr>
        <w:t>图3-4</w:t>
      </w:r>
      <w:r>
        <w:rPr>
          <w:rFonts w:ascii="Times New Roman" w:hAnsi="Times New Roman"/>
          <w:color w:val="000000" w:themeColor="text1"/>
        </w:rPr>
        <w:tab/>
      </w:r>
      <w:r>
        <w:rPr>
          <w:rFonts w:ascii="Times New Roman" w:hAnsi="Times New Roman"/>
          <w:color w:val="000000" w:themeColor="text1"/>
        </w:rPr>
        <w:t>生态修复分区图</w:t>
      </w:r>
    </w:p>
    <w:p w14:paraId="1D82C79C">
      <w:pPr>
        <w:pStyle w:val="174"/>
        <w:topLinePunct/>
        <w:rPr>
          <w:rFonts w:ascii="Times New Roman" w:hAnsi="Times New Roman" w:cs="Times New Roman"/>
          <w:color w:val="000000" w:themeColor="text1"/>
        </w:rPr>
      </w:pPr>
      <w:bookmarkStart w:id="28" w:name="_Toc18132"/>
      <w:r>
        <w:rPr>
          <w:rFonts w:ascii="Times New Roman" w:hAnsi="Times New Roman" w:cs="Times New Roman"/>
          <w:color w:val="000000" w:themeColor="text1"/>
        </w:rPr>
        <w:t>四、采矿用地与复垦修复安排</w:t>
      </w:r>
      <w:bookmarkEnd w:id="28"/>
    </w:p>
    <w:p w14:paraId="4AF335B1">
      <w:pPr>
        <w:pStyle w:val="178"/>
        <w:topLinePunct/>
        <w:rPr>
          <w:rFonts w:ascii="Times New Roman" w:hAnsi="Times New Roman" w:cs="Times New Roman"/>
          <w:color w:val="000000" w:themeColor="text1"/>
        </w:rPr>
      </w:pPr>
      <w:r>
        <w:rPr>
          <w:rFonts w:ascii="Times New Roman" w:hAnsi="Times New Roman" w:cs="Times New Roman"/>
          <w:color w:val="000000" w:themeColor="text1"/>
        </w:rPr>
        <w:t>项目区面积为</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（矿区面积），其土地类型为旱地</w:t>
      </w:r>
      <w:r>
        <w:rPr>
          <w:rFonts w:hint="eastAsia" w:ascii="Times New Roman" w:hAnsi="Times New Roman" w:cs="Times New Roman"/>
          <w:color w:val="000000" w:themeColor="text1"/>
        </w:rPr>
        <w:t>0.20</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、其他</w:t>
      </w:r>
      <w:r>
        <w:rPr>
          <w:rFonts w:hint="eastAsia" w:ascii="Times New Roman" w:hAnsi="Times New Roman" w:cs="Times New Roman"/>
          <w:color w:val="000000" w:themeColor="text1"/>
        </w:rPr>
        <w:t>草地</w:t>
      </w:r>
      <w:r>
        <w:rPr>
          <w:rFonts w:ascii="Times New Roman" w:hAnsi="Times New Roman" w:cs="Times New Roman"/>
          <w:color w:val="000000" w:themeColor="text1"/>
        </w:rPr>
        <w:t>0.</w:t>
      </w:r>
      <w:r>
        <w:rPr>
          <w:rFonts w:hint="eastAsia" w:ascii="Times New Roman" w:hAnsi="Times New Roman" w:cs="Times New Roman"/>
          <w:color w:val="000000" w:themeColor="text1"/>
        </w:rPr>
        <w:t>70</w:t>
      </w:r>
      <w:r>
        <w:rPr>
          <w:rFonts w:ascii="Times New Roman" w:hAnsi="Times New Roman" w:cs="Times New Roman"/>
          <w:color w:val="000000" w:themeColor="text1"/>
        </w:rPr>
        <w:t xml:space="preserve"> 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、采矿用地</w:t>
      </w:r>
      <w:r>
        <w:rPr>
          <w:rFonts w:hint="eastAsia" w:ascii="Times New Roman" w:hAnsi="Times New Roman" w:cs="Times New Roman"/>
          <w:color w:val="000000" w:themeColor="text1"/>
        </w:rPr>
        <w:t>15.09</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。矿山剩余开采服务年限</w:t>
      </w:r>
      <w:r>
        <w:rPr>
          <w:rFonts w:hint="eastAsia" w:ascii="Times New Roman" w:hAnsi="Times New Roman" w:cs="Times New Roman"/>
          <w:color w:val="000000" w:themeColor="text1"/>
        </w:rPr>
        <w:t>26</w:t>
      </w:r>
      <w:r>
        <w:rPr>
          <w:rFonts w:ascii="Times New Roman" w:hAnsi="Times New Roman" w:cs="Times New Roman"/>
          <w:color w:val="000000" w:themeColor="text1"/>
        </w:rPr>
        <w:t>年，</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通过租赁获得使用权。</w:t>
      </w:r>
    </w:p>
    <w:p w14:paraId="3FEE5DA3">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本次复垦修复土地面积</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（矿区面积），露天采场底部合围区复垦为乔木林地</w:t>
      </w:r>
      <w:r>
        <w:rPr>
          <w:rFonts w:hint="eastAsia" w:ascii="Times New Roman" w:hAnsi="Times New Roman" w:cs="Times New Roman"/>
          <w:color w:val="000000" w:themeColor="text1"/>
          <w:lang w:val="en-US" w:eastAsia="zh-CN"/>
        </w:rPr>
        <w:t>12.18</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；排土场复垦为乔木林地0.</w:t>
      </w:r>
      <w:r>
        <w:rPr>
          <w:rFonts w:hint="eastAsia" w:ascii="Times New Roman" w:hAnsi="Times New Roman" w:cs="Times New Roman"/>
          <w:color w:val="000000" w:themeColor="text1"/>
        </w:rPr>
        <w:t>36</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；露天采场开采边坡投影面积（</w:t>
      </w:r>
      <w:r>
        <w:rPr>
          <w:rFonts w:hint="eastAsia" w:ascii="Times New Roman" w:hAnsi="Times New Roman" w:cs="Times New Roman"/>
          <w:color w:val="000000" w:themeColor="text1"/>
        </w:rPr>
        <w:t>3.45h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）无法复垦为耕地、林地和草地，开采边坡坡底栽植常春藤保护边坡。生态修复时间为1年，管护期为3年。详见下表。</w:t>
      </w:r>
    </w:p>
    <w:p w14:paraId="42EDDCB0">
      <w:pPr>
        <w:pStyle w:val="182"/>
        <w:topLinePunct/>
        <w:ind w:firstLine="0" w:firstLineChars="0"/>
        <w:rPr>
          <w:rFonts w:ascii="Times New Roman" w:hAnsi="Times New Roman"/>
          <w:color w:val="000000" w:themeColor="text1"/>
          <w:kern w:val="0"/>
        </w:rPr>
      </w:pPr>
      <w:r>
        <w:rPr>
          <w:rFonts w:ascii="Times New Roman" w:hAnsi="Times New Roman"/>
          <w:color w:val="000000" w:themeColor="text1"/>
        </w:rPr>
        <w:t>表3-2</w:t>
      </w:r>
      <w:r>
        <w:rPr>
          <w:rFonts w:hint="eastAsia" w:ascii="Times New Roman" w:hAnsi="Times New Roman"/>
          <w:color w:val="000000" w:themeColor="text1"/>
          <w:lang w:val="en-US" w:eastAsia="zh-CN"/>
        </w:rPr>
        <w:t>1</w:t>
      </w:r>
      <w:r>
        <w:rPr>
          <w:rFonts w:ascii="Times New Roman" w:hAnsi="Times New Roman"/>
          <w:color w:val="000000" w:themeColor="text1"/>
        </w:rPr>
        <w:t xml:space="preserve"> 矿区生态修复目标及土地利用变化表</w:t>
      </w:r>
      <w:r>
        <w:rPr>
          <w:rFonts w:ascii="Times New Roman" w:hAnsi="Times New Roman"/>
          <w:color w:val="000000" w:themeColor="text1"/>
          <w:kern w:val="0"/>
        </w:rPr>
        <w:t>（h</w:t>
      </w:r>
      <w:r>
        <w:rPr>
          <w:rFonts w:hint="eastAsia" w:ascii="Times New Roman" w:hAnsi="Times New Roman"/>
          <w:color w:val="000000" w:themeColor="text1"/>
          <w:kern w:val="0"/>
          <w:lang w:eastAsia="zh-CN"/>
        </w:rPr>
        <w:t>m</w:t>
      </w:r>
      <w:r>
        <w:rPr>
          <w:rFonts w:hint="eastAsia" w:ascii="Times New Roman" w:hAnsi="Times New Roman"/>
          <w:strike w:val="0"/>
          <w:dstrike w:val="0"/>
          <w:color w:val="000000" w:themeColor="text1"/>
          <w:kern w:val="0"/>
          <w:vertAlign w:val="superscript"/>
          <w:lang w:eastAsia="zh-CN"/>
        </w:rPr>
        <w:t>2</w:t>
      </w:r>
      <w:r>
        <w:rPr>
          <w:rFonts w:ascii="Times New Roman" w:hAnsi="Times New Roman"/>
          <w:color w:val="000000" w:themeColor="text1"/>
          <w:kern w:val="0"/>
        </w:rPr>
        <w:t>）</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39"/>
        <w:gridCol w:w="1407"/>
        <w:gridCol w:w="825"/>
        <w:gridCol w:w="1620"/>
        <w:gridCol w:w="795"/>
        <w:gridCol w:w="803"/>
        <w:gridCol w:w="795"/>
        <w:gridCol w:w="975"/>
        <w:gridCol w:w="1327"/>
      </w:tblGrid>
      <w:tr w14:paraId="02E900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0" w:hRule="atLeast"/>
          <w:jc w:val="center"/>
        </w:trPr>
        <w:tc>
          <w:tcPr>
            <w:tcW w:w="2146" w:type="dxa"/>
            <w:gridSpan w:val="2"/>
            <w:tcBorders>
              <w:bottom w:val="single" w:color="auto" w:sz="4" w:space="0"/>
            </w:tcBorders>
            <w:shd w:val="clear" w:color="auto" w:fill="auto"/>
            <w:vAlign w:val="center"/>
          </w:tcPr>
          <w:p w14:paraId="2BFD170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一级地类</w:t>
            </w:r>
          </w:p>
        </w:tc>
        <w:tc>
          <w:tcPr>
            <w:tcW w:w="2445" w:type="dxa"/>
            <w:gridSpan w:val="2"/>
            <w:tcBorders>
              <w:bottom w:val="single" w:color="auto" w:sz="4" w:space="0"/>
            </w:tcBorders>
            <w:shd w:val="clear" w:color="auto" w:fill="auto"/>
            <w:vAlign w:val="center"/>
          </w:tcPr>
          <w:p w14:paraId="3B49421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二级地类</w:t>
            </w:r>
          </w:p>
        </w:tc>
        <w:tc>
          <w:tcPr>
            <w:tcW w:w="1598" w:type="dxa"/>
            <w:gridSpan w:val="2"/>
            <w:tcBorders>
              <w:bottom w:val="single" w:color="auto" w:sz="4" w:space="0"/>
            </w:tcBorders>
            <w:shd w:val="clear" w:color="auto" w:fill="auto"/>
            <w:vAlign w:val="center"/>
          </w:tcPr>
          <w:p w14:paraId="71CDB5E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损毁前</w:t>
            </w:r>
          </w:p>
        </w:tc>
        <w:tc>
          <w:tcPr>
            <w:tcW w:w="1770" w:type="dxa"/>
            <w:gridSpan w:val="2"/>
            <w:tcBorders>
              <w:bottom w:val="single" w:color="auto" w:sz="4" w:space="0"/>
            </w:tcBorders>
            <w:shd w:val="clear" w:color="auto" w:fill="auto"/>
            <w:vAlign w:val="center"/>
          </w:tcPr>
          <w:p w14:paraId="0FB82E2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生态修复目标</w:t>
            </w:r>
          </w:p>
        </w:tc>
        <w:tc>
          <w:tcPr>
            <w:tcW w:w="1327" w:type="dxa"/>
            <w:vMerge w:val="restart"/>
            <w:shd w:val="clear" w:color="auto" w:fill="auto"/>
            <w:vAlign w:val="center"/>
          </w:tcPr>
          <w:p w14:paraId="646CE13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面积增减</w:t>
            </w:r>
          </w:p>
        </w:tc>
      </w:tr>
      <w:tr w14:paraId="6FE4DE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739" w:type="dxa"/>
            <w:tcBorders>
              <w:top w:val="single" w:color="auto" w:sz="4" w:space="0"/>
            </w:tcBorders>
            <w:shd w:val="clear" w:color="auto" w:fill="auto"/>
            <w:vAlign w:val="center"/>
          </w:tcPr>
          <w:p w14:paraId="5653109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编码</w:t>
            </w:r>
          </w:p>
        </w:tc>
        <w:tc>
          <w:tcPr>
            <w:tcW w:w="1407" w:type="dxa"/>
            <w:tcBorders>
              <w:top w:val="single" w:color="auto" w:sz="4" w:space="0"/>
            </w:tcBorders>
            <w:shd w:val="clear" w:color="auto" w:fill="auto"/>
            <w:vAlign w:val="center"/>
          </w:tcPr>
          <w:p w14:paraId="6E8A08B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名称</w:t>
            </w:r>
          </w:p>
        </w:tc>
        <w:tc>
          <w:tcPr>
            <w:tcW w:w="825" w:type="dxa"/>
            <w:tcBorders>
              <w:top w:val="single" w:color="auto" w:sz="4" w:space="0"/>
            </w:tcBorders>
            <w:shd w:val="clear" w:color="auto" w:fill="auto"/>
            <w:vAlign w:val="center"/>
          </w:tcPr>
          <w:p w14:paraId="42943F2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编码</w:t>
            </w:r>
          </w:p>
        </w:tc>
        <w:tc>
          <w:tcPr>
            <w:tcW w:w="1620" w:type="dxa"/>
            <w:tcBorders>
              <w:top w:val="single" w:color="auto" w:sz="4" w:space="0"/>
            </w:tcBorders>
            <w:shd w:val="clear" w:color="auto" w:fill="auto"/>
            <w:vAlign w:val="center"/>
          </w:tcPr>
          <w:p w14:paraId="18159592">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名称</w:t>
            </w:r>
          </w:p>
        </w:tc>
        <w:tc>
          <w:tcPr>
            <w:tcW w:w="795" w:type="dxa"/>
            <w:tcBorders>
              <w:top w:val="single" w:color="auto" w:sz="4" w:space="0"/>
              <w:right w:val="single" w:color="auto" w:sz="4" w:space="0"/>
            </w:tcBorders>
            <w:shd w:val="clear" w:color="auto" w:fill="auto"/>
            <w:vAlign w:val="center"/>
          </w:tcPr>
          <w:p w14:paraId="631F3122">
            <w:pPr>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面积</w:t>
            </w:r>
          </w:p>
        </w:tc>
        <w:tc>
          <w:tcPr>
            <w:tcW w:w="803" w:type="dxa"/>
            <w:tcBorders>
              <w:top w:val="single" w:color="auto" w:sz="4" w:space="0"/>
              <w:left w:val="single" w:color="auto" w:sz="4" w:space="0"/>
              <w:right w:val="single" w:color="auto" w:sz="4" w:space="0"/>
            </w:tcBorders>
            <w:shd w:val="clear" w:color="auto" w:fill="auto"/>
            <w:vAlign w:val="center"/>
          </w:tcPr>
          <w:p w14:paraId="101E2206">
            <w:pPr>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质量</w:t>
            </w:r>
          </w:p>
        </w:tc>
        <w:tc>
          <w:tcPr>
            <w:tcW w:w="795" w:type="dxa"/>
            <w:tcBorders>
              <w:top w:val="single" w:color="auto" w:sz="4" w:space="0"/>
              <w:left w:val="single" w:color="auto" w:sz="4" w:space="0"/>
              <w:right w:val="single" w:color="auto" w:sz="4" w:space="0"/>
            </w:tcBorders>
            <w:shd w:val="clear" w:color="auto" w:fill="auto"/>
            <w:vAlign w:val="center"/>
          </w:tcPr>
          <w:p w14:paraId="16DBC744">
            <w:pPr>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面积</w:t>
            </w:r>
          </w:p>
        </w:tc>
        <w:tc>
          <w:tcPr>
            <w:tcW w:w="975" w:type="dxa"/>
            <w:tcBorders>
              <w:top w:val="single" w:color="auto" w:sz="4" w:space="0"/>
              <w:left w:val="single" w:color="auto" w:sz="4" w:space="0"/>
            </w:tcBorders>
            <w:shd w:val="clear" w:color="auto" w:fill="auto"/>
            <w:vAlign w:val="center"/>
          </w:tcPr>
          <w:p w14:paraId="5C544071">
            <w:pPr>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质量</w:t>
            </w:r>
          </w:p>
        </w:tc>
        <w:tc>
          <w:tcPr>
            <w:tcW w:w="1327" w:type="dxa"/>
            <w:vMerge w:val="continue"/>
            <w:shd w:val="clear" w:color="auto" w:fill="auto"/>
            <w:vAlign w:val="center"/>
          </w:tcPr>
          <w:p w14:paraId="54A2B2BD">
            <w:pPr>
              <w:widowControl/>
              <w:snapToGrid w:val="0"/>
              <w:jc w:val="center"/>
              <w:rPr>
                <w:rFonts w:ascii="Times New Roman" w:hAnsi="Times New Roman" w:cs="Times New Roman"/>
                <w:color w:val="000000" w:themeColor="text1"/>
                <w:kern w:val="0"/>
                <w:sz w:val="24"/>
                <w:szCs w:val="24"/>
              </w:rPr>
            </w:pPr>
          </w:p>
        </w:tc>
      </w:tr>
      <w:tr w14:paraId="6BD270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jc w:val="center"/>
        </w:trPr>
        <w:tc>
          <w:tcPr>
            <w:tcW w:w="739" w:type="dxa"/>
            <w:vMerge w:val="restart"/>
            <w:shd w:val="clear" w:color="auto" w:fill="auto"/>
            <w:vAlign w:val="center"/>
          </w:tcPr>
          <w:p w14:paraId="6D9AB27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w:t>
            </w:r>
          </w:p>
        </w:tc>
        <w:tc>
          <w:tcPr>
            <w:tcW w:w="1407" w:type="dxa"/>
            <w:vMerge w:val="restart"/>
            <w:shd w:val="clear" w:color="auto" w:fill="auto"/>
            <w:vAlign w:val="center"/>
          </w:tcPr>
          <w:p w14:paraId="0560BB4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耕地</w:t>
            </w:r>
          </w:p>
        </w:tc>
        <w:tc>
          <w:tcPr>
            <w:tcW w:w="825" w:type="dxa"/>
            <w:shd w:val="clear" w:color="auto" w:fill="auto"/>
            <w:vAlign w:val="center"/>
          </w:tcPr>
          <w:p w14:paraId="3FCFACE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0103</w:t>
            </w:r>
          </w:p>
        </w:tc>
        <w:tc>
          <w:tcPr>
            <w:tcW w:w="1620" w:type="dxa"/>
            <w:shd w:val="clear" w:color="auto" w:fill="auto"/>
            <w:vAlign w:val="center"/>
          </w:tcPr>
          <w:p w14:paraId="50D12286">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旱地</w:t>
            </w:r>
          </w:p>
        </w:tc>
        <w:tc>
          <w:tcPr>
            <w:tcW w:w="795" w:type="dxa"/>
            <w:tcBorders>
              <w:right w:val="single" w:color="auto" w:sz="4" w:space="0"/>
            </w:tcBorders>
            <w:shd w:val="clear" w:color="auto" w:fill="auto"/>
            <w:vAlign w:val="center"/>
          </w:tcPr>
          <w:p w14:paraId="03E694C6">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0.20</w:t>
            </w:r>
          </w:p>
        </w:tc>
        <w:tc>
          <w:tcPr>
            <w:tcW w:w="803" w:type="dxa"/>
            <w:tcBorders>
              <w:left w:val="single" w:color="auto" w:sz="4" w:space="0"/>
              <w:right w:val="single" w:color="auto" w:sz="4" w:space="0"/>
            </w:tcBorders>
            <w:shd w:val="clear" w:color="auto" w:fill="auto"/>
            <w:vAlign w:val="center"/>
          </w:tcPr>
          <w:p w14:paraId="490B2D6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w:t>
            </w:r>
          </w:p>
        </w:tc>
        <w:tc>
          <w:tcPr>
            <w:tcW w:w="795" w:type="dxa"/>
            <w:tcBorders>
              <w:left w:val="single" w:color="auto" w:sz="4" w:space="0"/>
              <w:right w:val="single" w:color="auto" w:sz="4" w:space="0"/>
            </w:tcBorders>
            <w:shd w:val="clear" w:color="auto" w:fill="auto"/>
            <w:vAlign w:val="center"/>
          </w:tcPr>
          <w:p w14:paraId="23008F49">
            <w:pPr>
              <w:widowControl/>
              <w:snapToGrid w:val="0"/>
              <w:jc w:val="center"/>
              <w:rPr>
                <w:rFonts w:ascii="Times New Roman" w:hAnsi="Times New Roman" w:cs="Times New Roman"/>
                <w:color w:val="000000" w:themeColor="text1"/>
                <w:kern w:val="0"/>
                <w:sz w:val="24"/>
                <w:szCs w:val="24"/>
              </w:rPr>
            </w:pPr>
          </w:p>
        </w:tc>
        <w:tc>
          <w:tcPr>
            <w:tcW w:w="975" w:type="dxa"/>
            <w:tcBorders>
              <w:left w:val="single" w:color="auto" w:sz="4" w:space="0"/>
            </w:tcBorders>
            <w:shd w:val="clear" w:color="auto" w:fill="auto"/>
            <w:vAlign w:val="center"/>
          </w:tcPr>
          <w:p w14:paraId="4D14CFB4">
            <w:pPr>
              <w:widowControl/>
              <w:snapToGrid w:val="0"/>
              <w:jc w:val="center"/>
              <w:rPr>
                <w:rFonts w:ascii="Times New Roman" w:hAnsi="Times New Roman" w:cs="Times New Roman"/>
                <w:color w:val="000000" w:themeColor="text1"/>
                <w:kern w:val="0"/>
                <w:sz w:val="24"/>
                <w:szCs w:val="24"/>
              </w:rPr>
            </w:pPr>
          </w:p>
        </w:tc>
        <w:tc>
          <w:tcPr>
            <w:tcW w:w="1327" w:type="dxa"/>
            <w:shd w:val="clear" w:color="auto" w:fill="auto"/>
            <w:vAlign w:val="center"/>
          </w:tcPr>
          <w:p w14:paraId="51ABE01C">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-0.20</w:t>
            </w:r>
          </w:p>
        </w:tc>
      </w:tr>
      <w:tr w14:paraId="500C53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vAlign w:val="center"/>
          </w:tcPr>
          <w:p w14:paraId="669C7ECC">
            <w:pPr>
              <w:widowControl/>
              <w:snapToGrid w:val="0"/>
              <w:jc w:val="center"/>
              <w:rPr>
                <w:rFonts w:ascii="Times New Roman" w:hAnsi="Times New Roman" w:cs="Times New Roman"/>
                <w:color w:val="000000" w:themeColor="text1"/>
                <w:kern w:val="0"/>
                <w:sz w:val="24"/>
                <w:szCs w:val="24"/>
              </w:rPr>
            </w:pPr>
          </w:p>
        </w:tc>
        <w:tc>
          <w:tcPr>
            <w:tcW w:w="1407" w:type="dxa"/>
            <w:vMerge w:val="continue"/>
            <w:shd w:val="clear" w:color="auto" w:fill="auto"/>
            <w:vAlign w:val="center"/>
          </w:tcPr>
          <w:p w14:paraId="14E41EBC">
            <w:pPr>
              <w:widowControl/>
              <w:snapToGrid w:val="0"/>
              <w:jc w:val="center"/>
              <w:rPr>
                <w:rFonts w:ascii="Times New Roman" w:hAnsi="Times New Roman" w:cs="Times New Roman"/>
                <w:color w:val="000000" w:themeColor="text1"/>
                <w:kern w:val="0"/>
                <w:sz w:val="24"/>
                <w:szCs w:val="24"/>
              </w:rPr>
            </w:pPr>
          </w:p>
        </w:tc>
        <w:tc>
          <w:tcPr>
            <w:tcW w:w="825" w:type="dxa"/>
            <w:shd w:val="clear" w:color="auto" w:fill="auto"/>
            <w:vAlign w:val="center"/>
          </w:tcPr>
          <w:p w14:paraId="1C7997C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c>
          <w:tcPr>
            <w:tcW w:w="1620" w:type="dxa"/>
            <w:shd w:val="clear" w:color="auto" w:fill="auto"/>
            <w:vAlign w:val="center"/>
          </w:tcPr>
          <w:p w14:paraId="2BAE421D">
            <w:pPr>
              <w:widowControl/>
              <w:snapToGrid w:val="0"/>
              <w:jc w:val="center"/>
              <w:rPr>
                <w:rFonts w:ascii="Times New Roman" w:hAnsi="Times New Roman" w:cs="Times New Roman"/>
                <w:color w:val="000000" w:themeColor="text1"/>
                <w:kern w:val="0"/>
                <w:sz w:val="24"/>
                <w:szCs w:val="24"/>
              </w:rPr>
            </w:pPr>
          </w:p>
        </w:tc>
        <w:tc>
          <w:tcPr>
            <w:tcW w:w="795" w:type="dxa"/>
            <w:tcBorders>
              <w:right w:val="single" w:color="auto" w:sz="4" w:space="0"/>
            </w:tcBorders>
            <w:shd w:val="clear" w:color="auto" w:fill="auto"/>
            <w:vAlign w:val="center"/>
          </w:tcPr>
          <w:p w14:paraId="5EFD1B9D">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0.20</w:t>
            </w:r>
          </w:p>
        </w:tc>
        <w:tc>
          <w:tcPr>
            <w:tcW w:w="803" w:type="dxa"/>
            <w:tcBorders>
              <w:left w:val="single" w:color="auto" w:sz="4" w:space="0"/>
              <w:right w:val="single" w:color="auto" w:sz="4" w:space="0"/>
            </w:tcBorders>
            <w:shd w:val="clear" w:color="auto" w:fill="auto"/>
            <w:vAlign w:val="center"/>
          </w:tcPr>
          <w:p w14:paraId="5F76FC6E">
            <w:pPr>
              <w:widowControl/>
              <w:snapToGrid w:val="0"/>
              <w:jc w:val="center"/>
              <w:rPr>
                <w:rFonts w:ascii="Times New Roman" w:hAnsi="Times New Roman" w:cs="Times New Roman"/>
                <w:color w:val="000000" w:themeColor="text1"/>
                <w:kern w:val="0"/>
                <w:sz w:val="24"/>
                <w:szCs w:val="24"/>
              </w:rPr>
            </w:pPr>
          </w:p>
        </w:tc>
        <w:tc>
          <w:tcPr>
            <w:tcW w:w="795" w:type="dxa"/>
            <w:tcBorders>
              <w:left w:val="single" w:color="auto" w:sz="4" w:space="0"/>
              <w:right w:val="single" w:color="auto" w:sz="4" w:space="0"/>
            </w:tcBorders>
            <w:shd w:val="clear" w:color="auto" w:fill="auto"/>
            <w:vAlign w:val="center"/>
          </w:tcPr>
          <w:p w14:paraId="6918D5F6">
            <w:pPr>
              <w:widowControl/>
              <w:snapToGrid w:val="0"/>
              <w:jc w:val="center"/>
              <w:rPr>
                <w:rFonts w:ascii="Times New Roman" w:hAnsi="Times New Roman" w:cs="Times New Roman"/>
                <w:color w:val="000000" w:themeColor="text1"/>
                <w:kern w:val="0"/>
                <w:sz w:val="24"/>
                <w:szCs w:val="24"/>
              </w:rPr>
            </w:pPr>
          </w:p>
        </w:tc>
        <w:tc>
          <w:tcPr>
            <w:tcW w:w="975" w:type="dxa"/>
            <w:tcBorders>
              <w:left w:val="single" w:color="auto" w:sz="4" w:space="0"/>
            </w:tcBorders>
            <w:shd w:val="clear" w:color="auto" w:fill="auto"/>
            <w:vAlign w:val="center"/>
          </w:tcPr>
          <w:p w14:paraId="4297779B">
            <w:pPr>
              <w:widowControl/>
              <w:snapToGrid w:val="0"/>
              <w:jc w:val="center"/>
              <w:rPr>
                <w:rFonts w:ascii="Times New Roman" w:hAnsi="Times New Roman" w:cs="Times New Roman"/>
                <w:color w:val="000000" w:themeColor="text1"/>
                <w:kern w:val="0"/>
                <w:sz w:val="24"/>
                <w:szCs w:val="24"/>
              </w:rPr>
            </w:pPr>
          </w:p>
        </w:tc>
        <w:tc>
          <w:tcPr>
            <w:tcW w:w="1327" w:type="dxa"/>
            <w:shd w:val="clear" w:color="auto" w:fill="auto"/>
            <w:vAlign w:val="center"/>
          </w:tcPr>
          <w:p w14:paraId="4ED72175">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-0.20</w:t>
            </w:r>
          </w:p>
        </w:tc>
      </w:tr>
      <w:tr w14:paraId="07D75B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jc w:val="center"/>
        </w:trPr>
        <w:tc>
          <w:tcPr>
            <w:tcW w:w="739" w:type="dxa"/>
            <w:vMerge w:val="restart"/>
            <w:shd w:val="clear" w:color="auto" w:fill="auto"/>
            <w:vAlign w:val="center"/>
          </w:tcPr>
          <w:p w14:paraId="4DC94FF6">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03</w:t>
            </w:r>
          </w:p>
        </w:tc>
        <w:tc>
          <w:tcPr>
            <w:tcW w:w="1407" w:type="dxa"/>
            <w:vMerge w:val="restart"/>
            <w:shd w:val="clear" w:color="auto" w:fill="auto"/>
            <w:vAlign w:val="center"/>
          </w:tcPr>
          <w:p w14:paraId="128355F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林地</w:t>
            </w:r>
          </w:p>
        </w:tc>
        <w:tc>
          <w:tcPr>
            <w:tcW w:w="825" w:type="dxa"/>
            <w:shd w:val="clear" w:color="auto" w:fill="auto"/>
            <w:vAlign w:val="center"/>
          </w:tcPr>
          <w:p w14:paraId="4E02EFB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0301</w:t>
            </w:r>
          </w:p>
        </w:tc>
        <w:tc>
          <w:tcPr>
            <w:tcW w:w="1620" w:type="dxa"/>
            <w:shd w:val="clear" w:color="auto" w:fill="auto"/>
            <w:vAlign w:val="center"/>
          </w:tcPr>
          <w:p w14:paraId="23B32A5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乔木林地</w:t>
            </w:r>
          </w:p>
        </w:tc>
        <w:tc>
          <w:tcPr>
            <w:tcW w:w="795" w:type="dxa"/>
            <w:tcBorders>
              <w:right w:val="single" w:color="auto" w:sz="4" w:space="0"/>
            </w:tcBorders>
            <w:shd w:val="clear" w:color="auto" w:fill="auto"/>
            <w:vAlign w:val="center"/>
          </w:tcPr>
          <w:p w14:paraId="13715436">
            <w:pPr>
              <w:widowControl/>
              <w:snapToGrid w:val="0"/>
              <w:jc w:val="center"/>
              <w:rPr>
                <w:rFonts w:ascii="Times New Roman" w:hAnsi="Times New Roman" w:cs="Times New Roman"/>
                <w:color w:val="000000" w:themeColor="text1"/>
                <w:kern w:val="0"/>
                <w:sz w:val="24"/>
                <w:szCs w:val="24"/>
              </w:rPr>
            </w:pPr>
          </w:p>
        </w:tc>
        <w:tc>
          <w:tcPr>
            <w:tcW w:w="803" w:type="dxa"/>
            <w:tcBorders>
              <w:left w:val="single" w:color="auto" w:sz="4" w:space="0"/>
              <w:right w:val="single" w:color="auto" w:sz="4" w:space="0"/>
            </w:tcBorders>
            <w:shd w:val="clear" w:color="auto" w:fill="auto"/>
            <w:vAlign w:val="center"/>
          </w:tcPr>
          <w:p w14:paraId="47A55F5F">
            <w:pPr>
              <w:widowControl/>
              <w:snapToGrid w:val="0"/>
              <w:jc w:val="center"/>
              <w:rPr>
                <w:rFonts w:ascii="Times New Roman" w:hAnsi="Times New Roman" w:cs="Times New Roman"/>
                <w:color w:val="000000" w:themeColor="text1"/>
                <w:kern w:val="0"/>
                <w:sz w:val="24"/>
                <w:szCs w:val="24"/>
              </w:rPr>
            </w:pPr>
          </w:p>
        </w:tc>
        <w:tc>
          <w:tcPr>
            <w:tcW w:w="795" w:type="dxa"/>
            <w:tcBorders>
              <w:left w:val="single" w:color="auto" w:sz="4" w:space="0"/>
              <w:right w:val="single" w:color="auto" w:sz="4" w:space="0"/>
            </w:tcBorders>
            <w:shd w:val="clear" w:color="auto" w:fill="auto"/>
            <w:vAlign w:val="center"/>
          </w:tcPr>
          <w:p w14:paraId="0B614502">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12.54</w:t>
            </w:r>
          </w:p>
        </w:tc>
        <w:tc>
          <w:tcPr>
            <w:tcW w:w="975" w:type="dxa"/>
            <w:tcBorders>
              <w:left w:val="single" w:color="auto" w:sz="4" w:space="0"/>
            </w:tcBorders>
            <w:shd w:val="clear" w:color="auto" w:fill="auto"/>
            <w:vAlign w:val="center"/>
          </w:tcPr>
          <w:p w14:paraId="1FAFD2B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w:t>
            </w:r>
          </w:p>
        </w:tc>
        <w:tc>
          <w:tcPr>
            <w:tcW w:w="1327" w:type="dxa"/>
            <w:shd w:val="clear" w:color="auto" w:fill="auto"/>
            <w:vAlign w:val="center"/>
          </w:tcPr>
          <w:p w14:paraId="6B9FC8D5">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+12.54</w:t>
            </w:r>
          </w:p>
        </w:tc>
      </w:tr>
      <w:tr w14:paraId="1CCA9B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vAlign w:val="center"/>
          </w:tcPr>
          <w:p w14:paraId="08835CD7">
            <w:pPr>
              <w:widowControl/>
              <w:snapToGrid w:val="0"/>
              <w:jc w:val="center"/>
              <w:rPr>
                <w:rFonts w:ascii="Times New Roman" w:hAnsi="Times New Roman" w:cs="Times New Roman"/>
                <w:color w:val="000000" w:themeColor="text1"/>
                <w:kern w:val="0"/>
                <w:sz w:val="24"/>
                <w:szCs w:val="24"/>
              </w:rPr>
            </w:pPr>
          </w:p>
        </w:tc>
        <w:tc>
          <w:tcPr>
            <w:tcW w:w="1407" w:type="dxa"/>
            <w:vMerge w:val="continue"/>
            <w:shd w:val="clear" w:color="auto" w:fill="auto"/>
            <w:vAlign w:val="center"/>
          </w:tcPr>
          <w:p w14:paraId="272B3530">
            <w:pPr>
              <w:widowControl/>
              <w:snapToGrid w:val="0"/>
              <w:jc w:val="center"/>
              <w:rPr>
                <w:rFonts w:ascii="Times New Roman" w:hAnsi="Times New Roman" w:cs="Times New Roman"/>
                <w:color w:val="000000" w:themeColor="text1"/>
                <w:kern w:val="0"/>
                <w:sz w:val="24"/>
                <w:szCs w:val="24"/>
              </w:rPr>
            </w:pPr>
          </w:p>
        </w:tc>
        <w:tc>
          <w:tcPr>
            <w:tcW w:w="825" w:type="dxa"/>
            <w:shd w:val="clear" w:color="auto" w:fill="auto"/>
            <w:vAlign w:val="center"/>
          </w:tcPr>
          <w:p w14:paraId="450D76C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c>
          <w:tcPr>
            <w:tcW w:w="1620" w:type="dxa"/>
            <w:shd w:val="clear" w:color="auto" w:fill="auto"/>
            <w:vAlign w:val="center"/>
          </w:tcPr>
          <w:p w14:paraId="35893A89">
            <w:pPr>
              <w:widowControl/>
              <w:snapToGrid w:val="0"/>
              <w:jc w:val="center"/>
              <w:rPr>
                <w:rFonts w:ascii="Times New Roman" w:hAnsi="Times New Roman" w:cs="Times New Roman"/>
                <w:color w:val="000000" w:themeColor="text1"/>
                <w:kern w:val="0"/>
                <w:sz w:val="24"/>
                <w:szCs w:val="24"/>
              </w:rPr>
            </w:pPr>
          </w:p>
        </w:tc>
        <w:tc>
          <w:tcPr>
            <w:tcW w:w="795" w:type="dxa"/>
            <w:tcBorders>
              <w:right w:val="single" w:color="auto" w:sz="4" w:space="0"/>
            </w:tcBorders>
            <w:shd w:val="clear" w:color="auto" w:fill="auto"/>
            <w:vAlign w:val="center"/>
          </w:tcPr>
          <w:p w14:paraId="4ABEEBDF">
            <w:pPr>
              <w:widowControl/>
              <w:snapToGrid w:val="0"/>
              <w:jc w:val="center"/>
              <w:rPr>
                <w:rFonts w:ascii="Times New Roman" w:hAnsi="Times New Roman" w:cs="Times New Roman"/>
                <w:color w:val="000000" w:themeColor="text1"/>
                <w:kern w:val="0"/>
                <w:sz w:val="24"/>
                <w:szCs w:val="24"/>
              </w:rPr>
            </w:pPr>
          </w:p>
        </w:tc>
        <w:tc>
          <w:tcPr>
            <w:tcW w:w="803" w:type="dxa"/>
            <w:tcBorders>
              <w:left w:val="single" w:color="auto" w:sz="4" w:space="0"/>
              <w:right w:val="single" w:color="auto" w:sz="4" w:space="0"/>
            </w:tcBorders>
            <w:shd w:val="clear" w:color="auto" w:fill="auto"/>
            <w:vAlign w:val="center"/>
          </w:tcPr>
          <w:p w14:paraId="73CCA93E">
            <w:pPr>
              <w:widowControl/>
              <w:snapToGrid w:val="0"/>
              <w:jc w:val="center"/>
              <w:rPr>
                <w:rFonts w:ascii="Times New Roman" w:hAnsi="Times New Roman" w:cs="Times New Roman"/>
                <w:color w:val="000000" w:themeColor="text1"/>
                <w:kern w:val="0"/>
                <w:sz w:val="24"/>
                <w:szCs w:val="24"/>
              </w:rPr>
            </w:pPr>
          </w:p>
        </w:tc>
        <w:tc>
          <w:tcPr>
            <w:tcW w:w="795" w:type="dxa"/>
            <w:tcBorders>
              <w:left w:val="single" w:color="auto" w:sz="4" w:space="0"/>
              <w:right w:val="single" w:color="auto" w:sz="4" w:space="0"/>
            </w:tcBorders>
            <w:shd w:val="clear" w:color="auto" w:fill="auto"/>
            <w:vAlign w:val="center"/>
          </w:tcPr>
          <w:p w14:paraId="525089C2">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12.54</w:t>
            </w:r>
          </w:p>
        </w:tc>
        <w:tc>
          <w:tcPr>
            <w:tcW w:w="975" w:type="dxa"/>
            <w:tcBorders>
              <w:left w:val="single" w:color="auto" w:sz="4" w:space="0"/>
            </w:tcBorders>
            <w:shd w:val="clear" w:color="auto" w:fill="auto"/>
            <w:vAlign w:val="center"/>
          </w:tcPr>
          <w:p w14:paraId="48DDB487">
            <w:pPr>
              <w:widowControl/>
              <w:snapToGrid w:val="0"/>
              <w:jc w:val="center"/>
              <w:rPr>
                <w:rFonts w:ascii="Times New Roman" w:hAnsi="Times New Roman" w:cs="Times New Roman"/>
                <w:color w:val="000000" w:themeColor="text1"/>
                <w:kern w:val="0"/>
                <w:sz w:val="24"/>
                <w:szCs w:val="24"/>
              </w:rPr>
            </w:pPr>
          </w:p>
        </w:tc>
        <w:tc>
          <w:tcPr>
            <w:tcW w:w="1327" w:type="dxa"/>
            <w:shd w:val="clear" w:color="auto" w:fill="auto"/>
            <w:vAlign w:val="center"/>
          </w:tcPr>
          <w:p w14:paraId="4FFEBF2E">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+12.54</w:t>
            </w:r>
          </w:p>
        </w:tc>
      </w:tr>
      <w:tr w14:paraId="0ACF6F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shd w:val="clear" w:color="auto" w:fill="auto"/>
            <w:vAlign w:val="center"/>
          </w:tcPr>
          <w:p w14:paraId="7E563AD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w:t>
            </w:r>
            <w:r>
              <w:rPr>
                <w:rFonts w:hint="eastAsia" w:ascii="Times New Roman" w:hAnsi="Times New Roman" w:cs="Times New Roman"/>
                <w:color w:val="000000" w:themeColor="text1"/>
                <w:kern w:val="0"/>
                <w:sz w:val="24"/>
                <w:szCs w:val="24"/>
              </w:rPr>
              <w:t>4</w:t>
            </w:r>
          </w:p>
        </w:tc>
        <w:tc>
          <w:tcPr>
            <w:tcW w:w="1407" w:type="dxa"/>
            <w:shd w:val="clear" w:color="auto" w:fill="auto"/>
            <w:vAlign w:val="center"/>
          </w:tcPr>
          <w:p w14:paraId="5A2FD791">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草地</w:t>
            </w:r>
          </w:p>
        </w:tc>
        <w:tc>
          <w:tcPr>
            <w:tcW w:w="825" w:type="dxa"/>
            <w:shd w:val="clear" w:color="auto" w:fill="auto"/>
            <w:vAlign w:val="center"/>
          </w:tcPr>
          <w:p w14:paraId="0DB52085">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0404</w:t>
            </w:r>
          </w:p>
        </w:tc>
        <w:tc>
          <w:tcPr>
            <w:tcW w:w="1620" w:type="dxa"/>
            <w:shd w:val="clear" w:color="auto" w:fill="auto"/>
            <w:vAlign w:val="center"/>
          </w:tcPr>
          <w:p w14:paraId="33A64F5A">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w:t>
            </w:r>
            <w:r>
              <w:rPr>
                <w:rFonts w:hint="eastAsia" w:ascii="Times New Roman" w:hAnsi="Times New Roman" w:cs="Times New Roman"/>
                <w:color w:val="000000" w:themeColor="text1"/>
                <w:kern w:val="0"/>
                <w:sz w:val="24"/>
                <w:szCs w:val="24"/>
              </w:rPr>
              <w:t>草地</w:t>
            </w:r>
          </w:p>
        </w:tc>
        <w:tc>
          <w:tcPr>
            <w:tcW w:w="795" w:type="dxa"/>
            <w:tcBorders>
              <w:right w:val="single" w:color="auto" w:sz="4" w:space="0"/>
            </w:tcBorders>
            <w:shd w:val="clear" w:color="auto" w:fill="auto"/>
            <w:vAlign w:val="center"/>
          </w:tcPr>
          <w:p w14:paraId="6A23AAFE">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0.70</w:t>
            </w:r>
          </w:p>
        </w:tc>
        <w:tc>
          <w:tcPr>
            <w:tcW w:w="803" w:type="dxa"/>
            <w:tcBorders>
              <w:left w:val="single" w:color="auto" w:sz="4" w:space="0"/>
              <w:right w:val="single" w:color="auto" w:sz="4" w:space="0"/>
            </w:tcBorders>
            <w:shd w:val="clear" w:color="auto" w:fill="auto"/>
            <w:vAlign w:val="center"/>
          </w:tcPr>
          <w:p w14:paraId="09A63708">
            <w:pPr>
              <w:widowControl/>
              <w:snapToGrid w:val="0"/>
              <w:jc w:val="center"/>
              <w:rPr>
                <w:rFonts w:ascii="Times New Roman" w:hAnsi="Times New Roman" w:cs="Times New Roman"/>
                <w:color w:val="000000" w:themeColor="text1"/>
                <w:kern w:val="0"/>
                <w:sz w:val="24"/>
                <w:szCs w:val="24"/>
              </w:rPr>
            </w:pPr>
          </w:p>
        </w:tc>
        <w:tc>
          <w:tcPr>
            <w:tcW w:w="795" w:type="dxa"/>
            <w:tcBorders>
              <w:left w:val="single" w:color="auto" w:sz="4" w:space="0"/>
              <w:right w:val="single" w:color="auto" w:sz="4" w:space="0"/>
            </w:tcBorders>
            <w:shd w:val="clear" w:color="auto" w:fill="auto"/>
            <w:vAlign w:val="center"/>
          </w:tcPr>
          <w:p w14:paraId="2BDB5363">
            <w:pPr>
              <w:widowControl/>
              <w:snapToGrid w:val="0"/>
              <w:jc w:val="center"/>
              <w:rPr>
                <w:rFonts w:ascii="Times New Roman" w:hAnsi="Times New Roman" w:cs="Times New Roman"/>
                <w:color w:val="000000" w:themeColor="text1"/>
                <w:kern w:val="0"/>
                <w:sz w:val="24"/>
                <w:szCs w:val="24"/>
              </w:rPr>
            </w:pPr>
          </w:p>
        </w:tc>
        <w:tc>
          <w:tcPr>
            <w:tcW w:w="975" w:type="dxa"/>
            <w:tcBorders>
              <w:left w:val="single" w:color="auto" w:sz="4" w:space="0"/>
            </w:tcBorders>
            <w:shd w:val="clear" w:color="auto" w:fill="auto"/>
            <w:vAlign w:val="center"/>
          </w:tcPr>
          <w:p w14:paraId="595DFD11">
            <w:pPr>
              <w:widowControl/>
              <w:snapToGrid w:val="0"/>
              <w:jc w:val="center"/>
              <w:rPr>
                <w:rFonts w:ascii="Times New Roman" w:hAnsi="Times New Roman" w:cs="Times New Roman"/>
                <w:color w:val="000000" w:themeColor="text1"/>
                <w:kern w:val="0"/>
                <w:sz w:val="24"/>
                <w:szCs w:val="24"/>
              </w:rPr>
            </w:pPr>
          </w:p>
        </w:tc>
        <w:tc>
          <w:tcPr>
            <w:tcW w:w="1327" w:type="dxa"/>
            <w:shd w:val="clear" w:color="auto" w:fill="auto"/>
            <w:vAlign w:val="center"/>
          </w:tcPr>
          <w:p w14:paraId="602A4230">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-0.7</w:t>
            </w:r>
          </w:p>
        </w:tc>
      </w:tr>
      <w:tr w14:paraId="34A4DC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shd w:val="clear" w:color="auto" w:fill="auto"/>
            <w:vAlign w:val="center"/>
          </w:tcPr>
          <w:p w14:paraId="58B8C74C">
            <w:pPr>
              <w:widowControl/>
              <w:snapToGrid w:val="0"/>
              <w:jc w:val="center"/>
              <w:rPr>
                <w:rFonts w:ascii="Times New Roman" w:hAnsi="Times New Roman" w:cs="Times New Roman"/>
                <w:color w:val="000000" w:themeColor="text1"/>
                <w:kern w:val="0"/>
                <w:sz w:val="24"/>
                <w:szCs w:val="24"/>
              </w:rPr>
            </w:pPr>
          </w:p>
        </w:tc>
        <w:tc>
          <w:tcPr>
            <w:tcW w:w="1407" w:type="dxa"/>
            <w:shd w:val="clear" w:color="auto" w:fill="auto"/>
            <w:vAlign w:val="center"/>
          </w:tcPr>
          <w:p w14:paraId="20858140">
            <w:pPr>
              <w:widowControl/>
              <w:snapToGrid w:val="0"/>
              <w:jc w:val="center"/>
              <w:rPr>
                <w:rFonts w:ascii="Times New Roman" w:hAnsi="Times New Roman" w:cs="Times New Roman"/>
                <w:color w:val="000000" w:themeColor="text1"/>
                <w:kern w:val="0"/>
                <w:sz w:val="24"/>
                <w:szCs w:val="24"/>
              </w:rPr>
            </w:pPr>
          </w:p>
        </w:tc>
        <w:tc>
          <w:tcPr>
            <w:tcW w:w="825" w:type="dxa"/>
            <w:shd w:val="clear" w:color="auto" w:fill="auto"/>
            <w:vAlign w:val="center"/>
          </w:tcPr>
          <w:p w14:paraId="39395E9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c>
          <w:tcPr>
            <w:tcW w:w="1620" w:type="dxa"/>
            <w:shd w:val="clear" w:color="auto" w:fill="auto"/>
            <w:vAlign w:val="center"/>
          </w:tcPr>
          <w:p w14:paraId="42BDE7EB">
            <w:pPr>
              <w:topLinePunct/>
              <w:snapToGrid w:val="0"/>
              <w:spacing w:line="240" w:lineRule="auto"/>
              <w:jc w:val="center"/>
              <w:rPr>
                <w:rFonts w:ascii="Times New Roman" w:hAnsi="Times New Roman" w:cs="Times New Roman"/>
                <w:color w:val="000000" w:themeColor="text1"/>
                <w:kern w:val="0"/>
                <w:sz w:val="24"/>
                <w:szCs w:val="24"/>
              </w:rPr>
            </w:pPr>
          </w:p>
        </w:tc>
        <w:tc>
          <w:tcPr>
            <w:tcW w:w="795" w:type="dxa"/>
            <w:tcBorders>
              <w:right w:val="single" w:color="auto" w:sz="4" w:space="0"/>
            </w:tcBorders>
            <w:shd w:val="clear" w:color="auto" w:fill="auto"/>
            <w:vAlign w:val="center"/>
          </w:tcPr>
          <w:p w14:paraId="78C44DF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0.70</w:t>
            </w:r>
          </w:p>
        </w:tc>
        <w:tc>
          <w:tcPr>
            <w:tcW w:w="803" w:type="dxa"/>
            <w:tcBorders>
              <w:left w:val="single" w:color="auto" w:sz="4" w:space="0"/>
              <w:right w:val="single" w:color="auto" w:sz="4" w:space="0"/>
            </w:tcBorders>
            <w:shd w:val="clear" w:color="auto" w:fill="auto"/>
            <w:vAlign w:val="center"/>
          </w:tcPr>
          <w:p w14:paraId="57052851">
            <w:pPr>
              <w:widowControl/>
              <w:snapToGrid w:val="0"/>
              <w:jc w:val="center"/>
              <w:rPr>
                <w:rFonts w:ascii="Times New Roman" w:hAnsi="Times New Roman" w:cs="Times New Roman"/>
                <w:color w:val="000000" w:themeColor="text1"/>
                <w:kern w:val="0"/>
                <w:sz w:val="24"/>
                <w:szCs w:val="24"/>
              </w:rPr>
            </w:pPr>
          </w:p>
        </w:tc>
        <w:tc>
          <w:tcPr>
            <w:tcW w:w="795" w:type="dxa"/>
            <w:tcBorders>
              <w:left w:val="single" w:color="auto" w:sz="4" w:space="0"/>
              <w:right w:val="single" w:color="auto" w:sz="4" w:space="0"/>
            </w:tcBorders>
            <w:shd w:val="clear" w:color="auto" w:fill="auto"/>
            <w:vAlign w:val="center"/>
          </w:tcPr>
          <w:p w14:paraId="3CA6BCFF">
            <w:pPr>
              <w:widowControl/>
              <w:snapToGrid w:val="0"/>
              <w:jc w:val="center"/>
              <w:rPr>
                <w:rFonts w:ascii="Times New Roman" w:hAnsi="Times New Roman" w:cs="Times New Roman"/>
                <w:color w:val="000000" w:themeColor="text1"/>
                <w:kern w:val="0"/>
                <w:sz w:val="24"/>
                <w:szCs w:val="24"/>
              </w:rPr>
            </w:pPr>
          </w:p>
        </w:tc>
        <w:tc>
          <w:tcPr>
            <w:tcW w:w="975" w:type="dxa"/>
            <w:tcBorders>
              <w:left w:val="single" w:color="auto" w:sz="4" w:space="0"/>
            </w:tcBorders>
            <w:shd w:val="clear" w:color="auto" w:fill="auto"/>
            <w:vAlign w:val="center"/>
          </w:tcPr>
          <w:p w14:paraId="68EE38BC">
            <w:pPr>
              <w:widowControl/>
              <w:snapToGrid w:val="0"/>
              <w:jc w:val="center"/>
              <w:rPr>
                <w:rFonts w:ascii="Times New Roman" w:hAnsi="Times New Roman" w:cs="Times New Roman"/>
                <w:color w:val="000000" w:themeColor="text1"/>
                <w:kern w:val="0"/>
                <w:sz w:val="24"/>
                <w:szCs w:val="24"/>
              </w:rPr>
            </w:pPr>
          </w:p>
        </w:tc>
        <w:tc>
          <w:tcPr>
            <w:tcW w:w="1327" w:type="dxa"/>
            <w:shd w:val="clear" w:color="auto" w:fill="auto"/>
            <w:vAlign w:val="center"/>
          </w:tcPr>
          <w:p w14:paraId="44B68499">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-0.7</w:t>
            </w:r>
          </w:p>
        </w:tc>
      </w:tr>
      <w:tr w14:paraId="190A7E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noWrap/>
            <w:vAlign w:val="center"/>
          </w:tcPr>
          <w:p w14:paraId="231DDDB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w:t>
            </w:r>
          </w:p>
        </w:tc>
        <w:tc>
          <w:tcPr>
            <w:tcW w:w="1407" w:type="dxa"/>
            <w:vMerge w:val="restart"/>
            <w:shd w:val="clear" w:color="auto" w:fill="auto"/>
            <w:vAlign w:val="center"/>
          </w:tcPr>
          <w:p w14:paraId="4990967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工矿仓储用地</w:t>
            </w:r>
          </w:p>
        </w:tc>
        <w:tc>
          <w:tcPr>
            <w:tcW w:w="825" w:type="dxa"/>
            <w:shd w:val="clear" w:color="auto" w:fill="auto"/>
            <w:vAlign w:val="center"/>
          </w:tcPr>
          <w:p w14:paraId="491D955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0602</w:t>
            </w:r>
          </w:p>
        </w:tc>
        <w:tc>
          <w:tcPr>
            <w:tcW w:w="1620" w:type="dxa"/>
            <w:shd w:val="clear" w:color="auto" w:fill="auto"/>
            <w:vAlign w:val="center"/>
          </w:tcPr>
          <w:p w14:paraId="46C5A82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采矿用地</w:t>
            </w:r>
          </w:p>
        </w:tc>
        <w:tc>
          <w:tcPr>
            <w:tcW w:w="795" w:type="dxa"/>
            <w:tcBorders>
              <w:right w:val="single" w:color="auto" w:sz="4" w:space="0"/>
            </w:tcBorders>
            <w:shd w:val="clear" w:color="auto" w:fill="auto"/>
            <w:noWrap/>
            <w:vAlign w:val="center"/>
          </w:tcPr>
          <w:p w14:paraId="7C698F09">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15.09 </w:t>
            </w:r>
          </w:p>
        </w:tc>
        <w:tc>
          <w:tcPr>
            <w:tcW w:w="803" w:type="dxa"/>
            <w:tcBorders>
              <w:left w:val="single" w:color="auto" w:sz="4" w:space="0"/>
              <w:right w:val="single" w:color="auto" w:sz="4" w:space="0"/>
            </w:tcBorders>
            <w:shd w:val="clear" w:color="auto" w:fill="auto"/>
            <w:noWrap/>
            <w:vAlign w:val="center"/>
          </w:tcPr>
          <w:p w14:paraId="7805855A">
            <w:pPr>
              <w:widowControl/>
              <w:snapToGrid w:val="0"/>
              <w:jc w:val="center"/>
              <w:rPr>
                <w:rFonts w:ascii="Times New Roman" w:hAnsi="Times New Roman" w:cs="Times New Roman"/>
                <w:color w:val="000000" w:themeColor="text1"/>
                <w:kern w:val="0"/>
                <w:sz w:val="24"/>
                <w:szCs w:val="24"/>
              </w:rPr>
            </w:pPr>
          </w:p>
        </w:tc>
        <w:tc>
          <w:tcPr>
            <w:tcW w:w="795" w:type="dxa"/>
            <w:tcBorders>
              <w:left w:val="single" w:color="auto" w:sz="4" w:space="0"/>
              <w:right w:val="single" w:color="auto" w:sz="4" w:space="0"/>
            </w:tcBorders>
            <w:shd w:val="clear" w:color="auto" w:fill="auto"/>
            <w:vAlign w:val="center"/>
          </w:tcPr>
          <w:p w14:paraId="7098C4C4">
            <w:pPr>
              <w:widowControl/>
              <w:snapToGrid w:val="0"/>
              <w:jc w:val="center"/>
              <w:rPr>
                <w:rFonts w:ascii="Times New Roman" w:hAnsi="Times New Roman" w:cs="Times New Roman"/>
                <w:color w:val="000000" w:themeColor="text1"/>
                <w:kern w:val="0"/>
                <w:sz w:val="24"/>
                <w:szCs w:val="24"/>
              </w:rPr>
            </w:pPr>
          </w:p>
        </w:tc>
        <w:tc>
          <w:tcPr>
            <w:tcW w:w="975" w:type="dxa"/>
            <w:tcBorders>
              <w:left w:val="single" w:color="auto" w:sz="4" w:space="0"/>
            </w:tcBorders>
            <w:shd w:val="clear" w:color="auto" w:fill="auto"/>
            <w:vAlign w:val="center"/>
          </w:tcPr>
          <w:p w14:paraId="60E7407A">
            <w:pPr>
              <w:widowControl/>
              <w:snapToGrid w:val="0"/>
              <w:jc w:val="center"/>
              <w:rPr>
                <w:rFonts w:ascii="Times New Roman" w:hAnsi="Times New Roman" w:cs="Times New Roman"/>
                <w:color w:val="000000" w:themeColor="text1"/>
                <w:kern w:val="0"/>
                <w:sz w:val="24"/>
                <w:szCs w:val="24"/>
              </w:rPr>
            </w:pPr>
          </w:p>
        </w:tc>
        <w:tc>
          <w:tcPr>
            <w:tcW w:w="1327" w:type="dxa"/>
            <w:shd w:val="clear" w:color="auto" w:fill="auto"/>
            <w:noWrap/>
            <w:vAlign w:val="center"/>
          </w:tcPr>
          <w:p w14:paraId="2F4D98B0">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-15.09</w:t>
            </w:r>
          </w:p>
        </w:tc>
      </w:tr>
      <w:tr w14:paraId="290145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noWrap/>
            <w:vAlign w:val="center"/>
          </w:tcPr>
          <w:p w14:paraId="71C851FB">
            <w:pPr>
              <w:widowControl/>
              <w:snapToGrid w:val="0"/>
              <w:jc w:val="center"/>
              <w:rPr>
                <w:rFonts w:ascii="Times New Roman" w:hAnsi="Times New Roman" w:cs="Times New Roman"/>
                <w:color w:val="000000" w:themeColor="text1"/>
                <w:kern w:val="0"/>
                <w:sz w:val="24"/>
                <w:szCs w:val="24"/>
              </w:rPr>
            </w:pPr>
          </w:p>
        </w:tc>
        <w:tc>
          <w:tcPr>
            <w:tcW w:w="1407" w:type="dxa"/>
            <w:vMerge w:val="continue"/>
            <w:shd w:val="clear" w:color="auto" w:fill="auto"/>
            <w:vAlign w:val="center"/>
          </w:tcPr>
          <w:p w14:paraId="6FA93895">
            <w:pPr>
              <w:widowControl/>
              <w:snapToGrid w:val="0"/>
              <w:jc w:val="center"/>
              <w:rPr>
                <w:rFonts w:ascii="Times New Roman" w:hAnsi="Times New Roman" w:cs="Times New Roman"/>
                <w:color w:val="000000" w:themeColor="text1"/>
                <w:kern w:val="0"/>
                <w:sz w:val="24"/>
                <w:szCs w:val="24"/>
              </w:rPr>
            </w:pPr>
          </w:p>
        </w:tc>
        <w:tc>
          <w:tcPr>
            <w:tcW w:w="825" w:type="dxa"/>
            <w:shd w:val="clear" w:color="auto" w:fill="auto"/>
            <w:vAlign w:val="center"/>
          </w:tcPr>
          <w:p w14:paraId="3003952A">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c>
          <w:tcPr>
            <w:tcW w:w="1620" w:type="dxa"/>
            <w:shd w:val="clear" w:color="auto" w:fill="auto"/>
            <w:vAlign w:val="center"/>
          </w:tcPr>
          <w:p w14:paraId="4DCA726D">
            <w:pPr>
              <w:widowControl/>
              <w:snapToGrid w:val="0"/>
              <w:jc w:val="center"/>
              <w:rPr>
                <w:rFonts w:ascii="Times New Roman" w:hAnsi="Times New Roman" w:cs="Times New Roman"/>
                <w:color w:val="000000" w:themeColor="text1"/>
                <w:kern w:val="0"/>
                <w:sz w:val="24"/>
                <w:szCs w:val="24"/>
              </w:rPr>
            </w:pPr>
          </w:p>
        </w:tc>
        <w:tc>
          <w:tcPr>
            <w:tcW w:w="795" w:type="dxa"/>
            <w:tcBorders>
              <w:right w:val="single" w:color="auto" w:sz="4" w:space="0"/>
            </w:tcBorders>
            <w:shd w:val="clear" w:color="auto" w:fill="auto"/>
            <w:noWrap/>
            <w:vAlign w:val="center"/>
          </w:tcPr>
          <w:p w14:paraId="5A8F3565">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15.09 </w:t>
            </w:r>
          </w:p>
        </w:tc>
        <w:tc>
          <w:tcPr>
            <w:tcW w:w="803" w:type="dxa"/>
            <w:tcBorders>
              <w:left w:val="single" w:color="auto" w:sz="4" w:space="0"/>
              <w:right w:val="single" w:color="auto" w:sz="4" w:space="0"/>
            </w:tcBorders>
            <w:shd w:val="clear" w:color="auto" w:fill="auto"/>
            <w:noWrap/>
            <w:vAlign w:val="center"/>
          </w:tcPr>
          <w:p w14:paraId="24B37850">
            <w:pPr>
              <w:widowControl/>
              <w:snapToGrid w:val="0"/>
              <w:jc w:val="center"/>
              <w:rPr>
                <w:rFonts w:ascii="Times New Roman" w:hAnsi="Times New Roman" w:cs="Times New Roman"/>
                <w:color w:val="000000" w:themeColor="text1"/>
                <w:kern w:val="0"/>
                <w:sz w:val="24"/>
                <w:szCs w:val="24"/>
              </w:rPr>
            </w:pPr>
          </w:p>
        </w:tc>
        <w:tc>
          <w:tcPr>
            <w:tcW w:w="795" w:type="dxa"/>
            <w:tcBorders>
              <w:left w:val="single" w:color="auto" w:sz="4" w:space="0"/>
              <w:right w:val="single" w:color="auto" w:sz="4" w:space="0"/>
            </w:tcBorders>
            <w:shd w:val="clear" w:color="auto" w:fill="auto"/>
            <w:vAlign w:val="center"/>
          </w:tcPr>
          <w:p w14:paraId="1F1C3B49">
            <w:pPr>
              <w:widowControl/>
              <w:snapToGrid w:val="0"/>
              <w:jc w:val="center"/>
              <w:rPr>
                <w:rFonts w:ascii="Times New Roman" w:hAnsi="Times New Roman" w:cs="Times New Roman"/>
                <w:color w:val="000000" w:themeColor="text1"/>
                <w:kern w:val="0"/>
                <w:sz w:val="24"/>
                <w:szCs w:val="24"/>
              </w:rPr>
            </w:pPr>
          </w:p>
        </w:tc>
        <w:tc>
          <w:tcPr>
            <w:tcW w:w="975" w:type="dxa"/>
            <w:tcBorders>
              <w:left w:val="single" w:color="auto" w:sz="4" w:space="0"/>
            </w:tcBorders>
            <w:shd w:val="clear" w:color="auto" w:fill="auto"/>
            <w:vAlign w:val="center"/>
          </w:tcPr>
          <w:p w14:paraId="2ABF2913">
            <w:pPr>
              <w:widowControl/>
              <w:snapToGrid w:val="0"/>
              <w:jc w:val="center"/>
              <w:rPr>
                <w:rFonts w:ascii="Times New Roman" w:hAnsi="Times New Roman" w:cs="Times New Roman"/>
                <w:color w:val="000000" w:themeColor="text1"/>
                <w:kern w:val="0"/>
                <w:sz w:val="24"/>
                <w:szCs w:val="24"/>
              </w:rPr>
            </w:pPr>
          </w:p>
        </w:tc>
        <w:tc>
          <w:tcPr>
            <w:tcW w:w="1327" w:type="dxa"/>
            <w:shd w:val="clear" w:color="auto" w:fill="auto"/>
            <w:noWrap/>
            <w:vAlign w:val="center"/>
          </w:tcPr>
          <w:p w14:paraId="2A7ABED5">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-15.09</w:t>
            </w:r>
          </w:p>
        </w:tc>
      </w:tr>
      <w:tr w14:paraId="548708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noWrap/>
            <w:vAlign w:val="center"/>
          </w:tcPr>
          <w:p w14:paraId="30C347F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w:t>
            </w:r>
          </w:p>
        </w:tc>
        <w:tc>
          <w:tcPr>
            <w:tcW w:w="1407" w:type="dxa"/>
            <w:vMerge w:val="restart"/>
            <w:shd w:val="clear" w:color="auto" w:fill="auto"/>
            <w:vAlign w:val="center"/>
          </w:tcPr>
          <w:p w14:paraId="73AD75C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其他土地</w:t>
            </w:r>
          </w:p>
        </w:tc>
        <w:tc>
          <w:tcPr>
            <w:tcW w:w="825" w:type="dxa"/>
            <w:shd w:val="clear" w:color="auto" w:fill="auto"/>
            <w:vAlign w:val="center"/>
          </w:tcPr>
          <w:p w14:paraId="637D29E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1207</w:t>
            </w:r>
          </w:p>
        </w:tc>
        <w:tc>
          <w:tcPr>
            <w:tcW w:w="1620" w:type="dxa"/>
            <w:shd w:val="clear" w:color="auto" w:fill="auto"/>
            <w:vAlign w:val="center"/>
          </w:tcPr>
          <w:p w14:paraId="4A01C18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裸岩石砾地</w:t>
            </w:r>
          </w:p>
        </w:tc>
        <w:tc>
          <w:tcPr>
            <w:tcW w:w="795" w:type="dxa"/>
            <w:tcBorders>
              <w:right w:val="single" w:color="auto" w:sz="4" w:space="0"/>
            </w:tcBorders>
            <w:shd w:val="clear" w:color="auto" w:fill="auto"/>
            <w:noWrap/>
            <w:vAlign w:val="center"/>
          </w:tcPr>
          <w:p w14:paraId="49749F8A">
            <w:pPr>
              <w:widowControl/>
              <w:snapToGrid w:val="0"/>
              <w:jc w:val="center"/>
              <w:rPr>
                <w:rFonts w:ascii="Times New Roman" w:hAnsi="Times New Roman" w:cs="Times New Roman"/>
                <w:color w:val="000000" w:themeColor="text1"/>
                <w:kern w:val="0"/>
                <w:sz w:val="24"/>
                <w:szCs w:val="24"/>
              </w:rPr>
            </w:pPr>
          </w:p>
        </w:tc>
        <w:tc>
          <w:tcPr>
            <w:tcW w:w="803" w:type="dxa"/>
            <w:tcBorders>
              <w:left w:val="single" w:color="auto" w:sz="4" w:space="0"/>
              <w:right w:val="single" w:color="auto" w:sz="4" w:space="0"/>
            </w:tcBorders>
            <w:shd w:val="clear" w:color="auto" w:fill="auto"/>
            <w:noWrap/>
            <w:vAlign w:val="center"/>
          </w:tcPr>
          <w:p w14:paraId="44200CEB">
            <w:pPr>
              <w:widowControl/>
              <w:snapToGrid w:val="0"/>
              <w:jc w:val="center"/>
              <w:rPr>
                <w:rFonts w:ascii="Times New Roman" w:hAnsi="Times New Roman" w:cs="Times New Roman"/>
                <w:color w:val="000000" w:themeColor="text1"/>
                <w:kern w:val="0"/>
                <w:sz w:val="24"/>
                <w:szCs w:val="24"/>
              </w:rPr>
            </w:pPr>
          </w:p>
        </w:tc>
        <w:tc>
          <w:tcPr>
            <w:tcW w:w="795" w:type="dxa"/>
            <w:tcBorders>
              <w:left w:val="single" w:color="auto" w:sz="4" w:space="0"/>
              <w:right w:val="single" w:color="auto" w:sz="4" w:space="0"/>
            </w:tcBorders>
            <w:shd w:val="clear" w:color="auto" w:fill="auto"/>
            <w:vAlign w:val="center"/>
          </w:tcPr>
          <w:p w14:paraId="7AEF8AA3">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3.45</w:t>
            </w:r>
          </w:p>
        </w:tc>
        <w:tc>
          <w:tcPr>
            <w:tcW w:w="975" w:type="dxa"/>
            <w:tcBorders>
              <w:left w:val="single" w:color="auto" w:sz="4" w:space="0"/>
            </w:tcBorders>
            <w:shd w:val="clear" w:color="auto" w:fill="auto"/>
            <w:vAlign w:val="center"/>
          </w:tcPr>
          <w:p w14:paraId="0027FA80">
            <w:pPr>
              <w:widowControl/>
              <w:snapToGrid w:val="0"/>
              <w:jc w:val="center"/>
              <w:rPr>
                <w:rFonts w:ascii="Times New Roman" w:hAnsi="Times New Roman" w:cs="Times New Roman"/>
                <w:color w:val="000000" w:themeColor="text1"/>
                <w:kern w:val="0"/>
                <w:sz w:val="24"/>
                <w:szCs w:val="24"/>
              </w:rPr>
            </w:pPr>
          </w:p>
        </w:tc>
        <w:tc>
          <w:tcPr>
            <w:tcW w:w="1327" w:type="dxa"/>
            <w:shd w:val="clear" w:color="auto" w:fill="auto"/>
            <w:noWrap/>
            <w:vAlign w:val="center"/>
          </w:tcPr>
          <w:p w14:paraId="11BBD905">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+3.45</w:t>
            </w:r>
          </w:p>
        </w:tc>
      </w:tr>
      <w:tr w14:paraId="46E36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noWrap/>
            <w:vAlign w:val="center"/>
          </w:tcPr>
          <w:p w14:paraId="24594F12">
            <w:pPr>
              <w:widowControl/>
              <w:snapToGrid w:val="0"/>
              <w:jc w:val="center"/>
              <w:rPr>
                <w:rFonts w:ascii="Times New Roman" w:hAnsi="Times New Roman" w:cs="Times New Roman"/>
                <w:color w:val="000000" w:themeColor="text1"/>
                <w:kern w:val="0"/>
                <w:sz w:val="24"/>
                <w:szCs w:val="24"/>
              </w:rPr>
            </w:pPr>
          </w:p>
        </w:tc>
        <w:tc>
          <w:tcPr>
            <w:tcW w:w="1407" w:type="dxa"/>
            <w:vMerge w:val="continue"/>
            <w:shd w:val="clear" w:color="auto" w:fill="auto"/>
            <w:vAlign w:val="center"/>
          </w:tcPr>
          <w:p w14:paraId="508B7E7F">
            <w:pPr>
              <w:widowControl/>
              <w:snapToGrid w:val="0"/>
              <w:jc w:val="center"/>
              <w:rPr>
                <w:rFonts w:ascii="Times New Roman" w:hAnsi="Times New Roman" w:cs="Times New Roman"/>
                <w:color w:val="000000" w:themeColor="text1"/>
                <w:kern w:val="0"/>
                <w:sz w:val="24"/>
                <w:szCs w:val="24"/>
              </w:rPr>
            </w:pPr>
          </w:p>
        </w:tc>
        <w:tc>
          <w:tcPr>
            <w:tcW w:w="825" w:type="dxa"/>
            <w:shd w:val="clear" w:color="auto" w:fill="auto"/>
            <w:vAlign w:val="center"/>
          </w:tcPr>
          <w:p w14:paraId="7BBBBF32">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c>
          <w:tcPr>
            <w:tcW w:w="1620" w:type="dxa"/>
            <w:shd w:val="clear" w:color="auto" w:fill="auto"/>
            <w:vAlign w:val="center"/>
          </w:tcPr>
          <w:p w14:paraId="21683E7C">
            <w:pPr>
              <w:widowControl/>
              <w:snapToGrid w:val="0"/>
              <w:jc w:val="center"/>
              <w:rPr>
                <w:rFonts w:ascii="Times New Roman" w:hAnsi="Times New Roman" w:cs="Times New Roman"/>
                <w:color w:val="000000" w:themeColor="text1"/>
                <w:kern w:val="0"/>
                <w:sz w:val="24"/>
                <w:szCs w:val="24"/>
              </w:rPr>
            </w:pPr>
          </w:p>
        </w:tc>
        <w:tc>
          <w:tcPr>
            <w:tcW w:w="795" w:type="dxa"/>
            <w:tcBorders>
              <w:right w:val="single" w:color="auto" w:sz="4" w:space="0"/>
            </w:tcBorders>
            <w:shd w:val="clear" w:color="auto" w:fill="auto"/>
            <w:noWrap/>
            <w:vAlign w:val="center"/>
          </w:tcPr>
          <w:p w14:paraId="5031AC8E">
            <w:pPr>
              <w:widowControl/>
              <w:snapToGrid w:val="0"/>
              <w:jc w:val="center"/>
              <w:rPr>
                <w:rFonts w:ascii="Times New Roman" w:hAnsi="Times New Roman" w:cs="Times New Roman"/>
                <w:color w:val="000000" w:themeColor="text1"/>
                <w:kern w:val="0"/>
                <w:sz w:val="24"/>
                <w:szCs w:val="24"/>
              </w:rPr>
            </w:pPr>
          </w:p>
        </w:tc>
        <w:tc>
          <w:tcPr>
            <w:tcW w:w="803" w:type="dxa"/>
            <w:tcBorders>
              <w:left w:val="single" w:color="auto" w:sz="4" w:space="0"/>
              <w:right w:val="single" w:color="auto" w:sz="4" w:space="0"/>
            </w:tcBorders>
            <w:shd w:val="clear" w:color="auto" w:fill="auto"/>
            <w:noWrap/>
            <w:vAlign w:val="center"/>
          </w:tcPr>
          <w:p w14:paraId="4739B0F1">
            <w:pPr>
              <w:widowControl/>
              <w:snapToGrid w:val="0"/>
              <w:jc w:val="center"/>
              <w:rPr>
                <w:rFonts w:ascii="Times New Roman" w:hAnsi="Times New Roman" w:cs="Times New Roman"/>
                <w:color w:val="000000" w:themeColor="text1"/>
                <w:kern w:val="0"/>
                <w:sz w:val="24"/>
                <w:szCs w:val="24"/>
              </w:rPr>
            </w:pPr>
          </w:p>
        </w:tc>
        <w:tc>
          <w:tcPr>
            <w:tcW w:w="795" w:type="dxa"/>
            <w:tcBorders>
              <w:left w:val="single" w:color="auto" w:sz="4" w:space="0"/>
              <w:right w:val="single" w:color="auto" w:sz="4" w:space="0"/>
            </w:tcBorders>
            <w:shd w:val="clear" w:color="auto" w:fill="auto"/>
            <w:vAlign w:val="center"/>
          </w:tcPr>
          <w:p w14:paraId="7661038E">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3.45</w:t>
            </w:r>
          </w:p>
        </w:tc>
        <w:tc>
          <w:tcPr>
            <w:tcW w:w="975" w:type="dxa"/>
            <w:tcBorders>
              <w:left w:val="single" w:color="auto" w:sz="4" w:space="0"/>
            </w:tcBorders>
            <w:shd w:val="clear" w:color="auto" w:fill="auto"/>
            <w:vAlign w:val="center"/>
          </w:tcPr>
          <w:p w14:paraId="5B14483F">
            <w:pPr>
              <w:widowControl/>
              <w:snapToGrid w:val="0"/>
              <w:jc w:val="center"/>
              <w:rPr>
                <w:rFonts w:ascii="Times New Roman" w:hAnsi="Times New Roman" w:cs="Times New Roman"/>
                <w:color w:val="000000" w:themeColor="text1"/>
                <w:kern w:val="0"/>
                <w:sz w:val="24"/>
                <w:szCs w:val="24"/>
              </w:rPr>
            </w:pPr>
          </w:p>
        </w:tc>
        <w:tc>
          <w:tcPr>
            <w:tcW w:w="1327" w:type="dxa"/>
            <w:shd w:val="clear" w:color="auto" w:fill="auto"/>
            <w:noWrap/>
            <w:vAlign w:val="center"/>
          </w:tcPr>
          <w:p w14:paraId="27C036BE">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+3.45</w:t>
            </w:r>
          </w:p>
        </w:tc>
      </w:tr>
      <w:tr w14:paraId="622241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4591" w:type="dxa"/>
            <w:gridSpan w:val="4"/>
            <w:shd w:val="clear" w:color="auto" w:fill="auto"/>
            <w:vAlign w:val="center"/>
          </w:tcPr>
          <w:p w14:paraId="1CB226C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795" w:type="dxa"/>
            <w:tcBorders>
              <w:right w:val="single" w:color="auto" w:sz="4" w:space="0"/>
            </w:tcBorders>
            <w:shd w:val="clear" w:color="auto" w:fill="auto"/>
            <w:vAlign w:val="center"/>
          </w:tcPr>
          <w:p w14:paraId="00B7943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15.99</w:t>
            </w:r>
          </w:p>
        </w:tc>
        <w:tc>
          <w:tcPr>
            <w:tcW w:w="803" w:type="dxa"/>
            <w:tcBorders>
              <w:left w:val="single" w:color="auto" w:sz="4" w:space="0"/>
              <w:right w:val="single" w:color="auto" w:sz="4" w:space="0"/>
            </w:tcBorders>
            <w:shd w:val="clear" w:color="auto" w:fill="auto"/>
            <w:vAlign w:val="center"/>
          </w:tcPr>
          <w:p w14:paraId="57B49E40">
            <w:pPr>
              <w:widowControl/>
              <w:snapToGrid w:val="0"/>
              <w:jc w:val="center"/>
              <w:rPr>
                <w:rFonts w:ascii="Times New Roman" w:hAnsi="Times New Roman" w:cs="Times New Roman"/>
                <w:color w:val="000000" w:themeColor="text1"/>
                <w:kern w:val="0"/>
                <w:sz w:val="24"/>
                <w:szCs w:val="24"/>
              </w:rPr>
            </w:pPr>
          </w:p>
        </w:tc>
        <w:tc>
          <w:tcPr>
            <w:tcW w:w="795" w:type="dxa"/>
            <w:tcBorders>
              <w:left w:val="single" w:color="auto" w:sz="4" w:space="0"/>
              <w:right w:val="single" w:color="auto" w:sz="4" w:space="0"/>
            </w:tcBorders>
            <w:shd w:val="clear" w:color="auto" w:fill="auto"/>
            <w:vAlign w:val="center"/>
          </w:tcPr>
          <w:p w14:paraId="2DD5C350">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15.99</w:t>
            </w:r>
          </w:p>
        </w:tc>
        <w:tc>
          <w:tcPr>
            <w:tcW w:w="975" w:type="dxa"/>
            <w:tcBorders>
              <w:left w:val="single" w:color="auto" w:sz="4" w:space="0"/>
            </w:tcBorders>
            <w:shd w:val="clear" w:color="auto" w:fill="auto"/>
            <w:vAlign w:val="center"/>
          </w:tcPr>
          <w:p w14:paraId="08130927">
            <w:pPr>
              <w:widowControl/>
              <w:snapToGrid w:val="0"/>
              <w:jc w:val="center"/>
              <w:rPr>
                <w:rFonts w:ascii="Times New Roman" w:hAnsi="Times New Roman" w:cs="Times New Roman"/>
                <w:color w:val="000000" w:themeColor="text1"/>
                <w:kern w:val="0"/>
                <w:sz w:val="24"/>
                <w:szCs w:val="24"/>
              </w:rPr>
            </w:pPr>
          </w:p>
        </w:tc>
        <w:tc>
          <w:tcPr>
            <w:tcW w:w="1327" w:type="dxa"/>
            <w:shd w:val="clear" w:color="auto" w:fill="auto"/>
            <w:noWrap/>
            <w:vAlign w:val="center"/>
          </w:tcPr>
          <w:p w14:paraId="67D9BFCB">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w:t>
            </w:r>
          </w:p>
        </w:tc>
      </w:tr>
    </w:tbl>
    <w:p w14:paraId="777EA3BE">
      <w:pPr>
        <w:pStyle w:val="182"/>
        <w:topLinePunct/>
        <w:ind w:firstLine="0" w:firstLineChars="0"/>
        <w:rPr>
          <w:rFonts w:ascii="Times New Roman" w:hAnsi="Times New Roman"/>
          <w:color w:val="000000" w:themeColor="text1"/>
        </w:rPr>
      </w:pPr>
    </w:p>
    <w:p w14:paraId="21FF0455">
      <w:pPr>
        <w:pStyle w:val="182"/>
        <w:topLinePunct/>
        <w:ind w:firstLine="0" w:firstLineChars="0"/>
        <w:rPr>
          <w:rFonts w:ascii="Times New Roman" w:hAnsi="Times New Roman"/>
          <w:color w:val="000000" w:themeColor="text1"/>
        </w:rPr>
        <w:sectPr>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p>
    <w:p w14:paraId="6D5E5588">
      <w:pPr>
        <w:pStyle w:val="182"/>
        <w:topLinePunct/>
        <w:ind w:firstLine="0" w:firstLineChars="0"/>
        <w:rPr>
          <w:rFonts w:ascii="Times New Roman" w:hAnsi="Times New Roman"/>
          <w:color w:val="000000" w:themeColor="text1"/>
        </w:rPr>
      </w:pPr>
      <w:r>
        <w:rPr>
          <w:rFonts w:ascii="Times New Roman" w:hAnsi="Times New Roman"/>
          <w:color w:val="000000" w:themeColor="text1"/>
        </w:rPr>
        <w:t>表3-2</w:t>
      </w:r>
      <w:r>
        <w:rPr>
          <w:rFonts w:hint="eastAsia" w:ascii="Times New Roman" w:hAnsi="Times New Roman"/>
          <w:color w:val="000000" w:themeColor="text1"/>
          <w:lang w:val="en-US" w:eastAsia="zh-CN"/>
        </w:rPr>
        <w:t>2</w:t>
      </w:r>
      <w:r>
        <w:rPr>
          <w:rFonts w:ascii="Times New Roman" w:hAnsi="Times New Roman"/>
          <w:color w:val="000000" w:themeColor="text1"/>
        </w:rPr>
        <w:tab/>
      </w:r>
      <w:r>
        <w:rPr>
          <w:rFonts w:ascii="Times New Roman" w:hAnsi="Times New Roman"/>
          <w:color w:val="000000" w:themeColor="text1"/>
        </w:rPr>
        <w:t>矿区用地与复垦修复计划表</w:t>
      </w:r>
    </w:p>
    <w:tbl>
      <w:tblPr>
        <w:tblStyle w:val="42"/>
        <w:tblW w:w="5304"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1" w:type="dxa"/>
          <w:left w:w="11" w:type="dxa"/>
          <w:bottom w:w="11" w:type="dxa"/>
          <w:right w:w="11" w:type="dxa"/>
        </w:tblCellMar>
      </w:tblPr>
      <w:tblGrid>
        <w:gridCol w:w="542"/>
        <w:gridCol w:w="833"/>
        <w:gridCol w:w="3180"/>
        <w:gridCol w:w="849"/>
        <w:gridCol w:w="658"/>
        <w:gridCol w:w="1036"/>
        <w:gridCol w:w="1391"/>
        <w:gridCol w:w="620"/>
        <w:gridCol w:w="3149"/>
        <w:gridCol w:w="771"/>
        <w:gridCol w:w="604"/>
        <w:gridCol w:w="1252"/>
      </w:tblGrid>
      <w:tr w14:paraId="4A6944A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blHeader/>
        </w:trPr>
        <w:tc>
          <w:tcPr>
            <w:tcW w:w="8485" w:type="dxa"/>
            <w:gridSpan w:val="7"/>
            <w:tcBorders>
              <w:tl2br w:val="nil"/>
              <w:tr2bl w:val="nil"/>
            </w:tcBorders>
            <w:vAlign w:val="center"/>
          </w:tcPr>
          <w:p w14:paraId="7B6C974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用地信息</w:t>
            </w:r>
          </w:p>
        </w:tc>
        <w:tc>
          <w:tcPr>
            <w:tcW w:w="6394" w:type="dxa"/>
            <w:gridSpan w:val="5"/>
            <w:tcBorders>
              <w:tl2br w:val="nil"/>
              <w:tr2bl w:val="nil"/>
            </w:tcBorders>
            <w:vAlign w:val="center"/>
          </w:tcPr>
          <w:p w14:paraId="231EF47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复垦修复计划</w:t>
            </w:r>
          </w:p>
        </w:tc>
      </w:tr>
      <w:tr w14:paraId="0FDB5A8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blHeader/>
        </w:trPr>
        <w:tc>
          <w:tcPr>
            <w:tcW w:w="541" w:type="dxa"/>
            <w:tcBorders>
              <w:tl2br w:val="nil"/>
              <w:tr2bl w:val="nil"/>
            </w:tcBorders>
            <w:vAlign w:val="center"/>
          </w:tcPr>
          <w:p w14:paraId="50AE701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序号</w:t>
            </w:r>
          </w:p>
        </w:tc>
        <w:tc>
          <w:tcPr>
            <w:tcW w:w="832" w:type="dxa"/>
            <w:tcBorders>
              <w:tl2br w:val="nil"/>
              <w:tr2bl w:val="nil"/>
            </w:tcBorders>
            <w:vAlign w:val="center"/>
          </w:tcPr>
          <w:p w14:paraId="5B2A13B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原地类</w:t>
            </w:r>
          </w:p>
        </w:tc>
        <w:tc>
          <w:tcPr>
            <w:tcW w:w="3179" w:type="dxa"/>
            <w:tcBorders>
              <w:tl2br w:val="nil"/>
              <w:tr2bl w:val="nil"/>
            </w:tcBorders>
            <w:vAlign w:val="center"/>
          </w:tcPr>
          <w:p w14:paraId="02D7403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范围</w:t>
            </w:r>
          </w:p>
        </w:tc>
        <w:tc>
          <w:tcPr>
            <w:tcW w:w="849" w:type="dxa"/>
            <w:tcBorders>
              <w:tl2br w:val="nil"/>
              <w:tr2bl w:val="nil"/>
            </w:tcBorders>
            <w:vAlign w:val="center"/>
          </w:tcPr>
          <w:p w14:paraId="3AE9F36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面积（h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658" w:type="dxa"/>
            <w:tcBorders>
              <w:tl2br w:val="nil"/>
              <w:tr2bl w:val="nil"/>
            </w:tcBorders>
            <w:vAlign w:val="center"/>
          </w:tcPr>
          <w:p w14:paraId="5CE4C41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质量</w:t>
            </w:r>
          </w:p>
        </w:tc>
        <w:tc>
          <w:tcPr>
            <w:tcW w:w="1036" w:type="dxa"/>
            <w:tcBorders>
              <w:tl2br w:val="nil"/>
              <w:tr2bl w:val="nil"/>
            </w:tcBorders>
            <w:vAlign w:val="center"/>
          </w:tcPr>
          <w:p w14:paraId="0B22480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是否为临时用地</w:t>
            </w:r>
          </w:p>
        </w:tc>
        <w:tc>
          <w:tcPr>
            <w:tcW w:w="1390" w:type="dxa"/>
            <w:tcBorders>
              <w:tl2br w:val="nil"/>
              <w:tr2bl w:val="nil"/>
            </w:tcBorders>
            <w:vAlign w:val="center"/>
          </w:tcPr>
          <w:p w14:paraId="793387D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批准（计划）使用期限</w:t>
            </w:r>
          </w:p>
        </w:tc>
        <w:tc>
          <w:tcPr>
            <w:tcW w:w="620" w:type="dxa"/>
            <w:tcBorders>
              <w:tl2br w:val="nil"/>
              <w:tr2bl w:val="nil"/>
            </w:tcBorders>
            <w:vAlign w:val="center"/>
          </w:tcPr>
          <w:p w14:paraId="36788E6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目标地类</w:t>
            </w:r>
          </w:p>
        </w:tc>
        <w:tc>
          <w:tcPr>
            <w:tcW w:w="3148" w:type="dxa"/>
            <w:tcBorders>
              <w:tl2br w:val="nil"/>
              <w:tr2bl w:val="nil"/>
            </w:tcBorders>
            <w:vAlign w:val="center"/>
          </w:tcPr>
          <w:p w14:paraId="0FAE0966">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范围</w:t>
            </w:r>
          </w:p>
        </w:tc>
        <w:tc>
          <w:tcPr>
            <w:tcW w:w="771" w:type="dxa"/>
            <w:tcBorders>
              <w:tl2br w:val="nil"/>
              <w:tr2bl w:val="nil"/>
            </w:tcBorders>
            <w:vAlign w:val="center"/>
          </w:tcPr>
          <w:p w14:paraId="5AA71B0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面积（h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r>
              <w:rPr>
                <w:rFonts w:ascii="Times New Roman" w:hAnsi="Times New Roman" w:cs="Times New Roman"/>
                <w:color w:val="000000" w:themeColor="text1"/>
                <w:kern w:val="0"/>
                <w:sz w:val="24"/>
                <w:szCs w:val="24"/>
              </w:rPr>
              <w:t>）</w:t>
            </w:r>
          </w:p>
        </w:tc>
        <w:tc>
          <w:tcPr>
            <w:tcW w:w="604" w:type="dxa"/>
            <w:tcBorders>
              <w:tl2br w:val="nil"/>
              <w:tr2bl w:val="nil"/>
            </w:tcBorders>
            <w:vAlign w:val="center"/>
          </w:tcPr>
          <w:p w14:paraId="21155ED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质量</w:t>
            </w:r>
          </w:p>
        </w:tc>
        <w:tc>
          <w:tcPr>
            <w:tcW w:w="1251" w:type="dxa"/>
            <w:tcBorders>
              <w:tl2br w:val="nil"/>
              <w:tr2bl w:val="nil"/>
            </w:tcBorders>
            <w:shd w:val="clear" w:color="auto" w:fill="auto"/>
            <w:vAlign w:val="center"/>
          </w:tcPr>
          <w:p w14:paraId="52F10A5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批准（计划）修复期限</w:t>
            </w:r>
          </w:p>
        </w:tc>
      </w:tr>
      <w:tr w14:paraId="6691129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rPr>
        <w:tc>
          <w:tcPr>
            <w:tcW w:w="541" w:type="dxa"/>
            <w:tcBorders>
              <w:tl2br w:val="nil"/>
              <w:tr2bl w:val="nil"/>
            </w:tcBorders>
            <w:vAlign w:val="center"/>
          </w:tcPr>
          <w:p w14:paraId="11452A2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832" w:type="dxa"/>
            <w:tcBorders>
              <w:tl2br w:val="nil"/>
              <w:tr2bl w:val="nil"/>
            </w:tcBorders>
            <w:vAlign w:val="center"/>
          </w:tcPr>
          <w:p w14:paraId="31A600B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旱地、其他</w:t>
            </w:r>
            <w:r>
              <w:rPr>
                <w:rFonts w:hint="eastAsia" w:ascii="Times New Roman" w:hAnsi="Times New Roman" w:cs="Times New Roman"/>
                <w:color w:val="000000" w:themeColor="text1"/>
                <w:kern w:val="0"/>
                <w:sz w:val="24"/>
                <w:szCs w:val="24"/>
              </w:rPr>
              <w:t>草地</w:t>
            </w:r>
            <w:r>
              <w:rPr>
                <w:rFonts w:ascii="Times New Roman" w:hAnsi="Times New Roman" w:cs="Times New Roman"/>
                <w:color w:val="000000" w:themeColor="text1"/>
                <w:kern w:val="0"/>
                <w:sz w:val="24"/>
                <w:szCs w:val="24"/>
              </w:rPr>
              <w:t>、采矿用地</w:t>
            </w:r>
          </w:p>
        </w:tc>
        <w:tc>
          <w:tcPr>
            <w:tcW w:w="3179" w:type="dxa"/>
            <w:tcBorders>
              <w:tl2br w:val="nil"/>
              <w:tr2bl w:val="nil"/>
            </w:tcBorders>
            <w:shd w:val="clear" w:color="auto" w:fill="auto"/>
            <w:vAlign w:val="center"/>
          </w:tcPr>
          <w:p w14:paraId="361D822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露天采场</w:t>
            </w:r>
          </w:p>
          <w:p w14:paraId="327B19DB">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1,5025035.39 ,44456230.82 </w:t>
            </w:r>
          </w:p>
          <w:p w14:paraId="0F7AB9ED">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2,5025066.17 ,44456333.76 </w:t>
            </w:r>
          </w:p>
          <w:p w14:paraId="23BA3AC6">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3,5025068.26 ,44456485.16 </w:t>
            </w:r>
          </w:p>
          <w:p w14:paraId="542E8029">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4,5024830.79 ,44456545.04 </w:t>
            </w:r>
          </w:p>
          <w:p w14:paraId="169C80A7">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5,5024800.55 ,44456520.92 </w:t>
            </w:r>
          </w:p>
          <w:p w14:paraId="24086F28">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6,5024710.58 ,44456447.46 </w:t>
            </w:r>
          </w:p>
          <w:p w14:paraId="3F319B85">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7,5024648.67 ,44456354.01 </w:t>
            </w:r>
          </w:p>
          <w:p w14:paraId="03EE46E5">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8,5024629.24 ,44456312.06 </w:t>
            </w:r>
          </w:p>
          <w:p w14:paraId="01BFA4B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9,5024552.60 ,44456265.50 </w:t>
            </w:r>
          </w:p>
          <w:p w14:paraId="63C7C10B">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10,5024554.20 ,44456195.54 </w:t>
            </w:r>
          </w:p>
          <w:p w14:paraId="01114A06">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11,5024576.29 ,44456126.51 </w:t>
            </w:r>
          </w:p>
          <w:p w14:paraId="2E0718A0">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12,5024625.12 ,44456089.60 </w:t>
            </w:r>
          </w:p>
          <w:p w14:paraId="41A41FE1">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13,5024670.49 ,44456085.95 </w:t>
            </w:r>
          </w:p>
          <w:p w14:paraId="0999EAC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14,5024815.41 ,44456092.88 </w:t>
            </w:r>
          </w:p>
          <w:p w14:paraId="53757618">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15,5024866.34 ,44456139.88 </w:t>
            </w:r>
          </w:p>
          <w:p w14:paraId="13F147D2">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16,5024913.94 ,44456203.01 </w:t>
            </w:r>
          </w:p>
          <w:p w14:paraId="1FBF6609">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17,5024988.50 ,44456210.35  </w:t>
            </w:r>
          </w:p>
        </w:tc>
        <w:tc>
          <w:tcPr>
            <w:tcW w:w="849" w:type="dxa"/>
            <w:tcBorders>
              <w:tl2br w:val="nil"/>
              <w:tr2bl w:val="nil"/>
            </w:tcBorders>
            <w:vAlign w:val="center"/>
          </w:tcPr>
          <w:p w14:paraId="52512AE8">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15.63</w:t>
            </w:r>
          </w:p>
        </w:tc>
        <w:tc>
          <w:tcPr>
            <w:tcW w:w="658" w:type="dxa"/>
            <w:tcBorders>
              <w:tl2br w:val="nil"/>
              <w:tr2bl w:val="nil"/>
            </w:tcBorders>
            <w:vAlign w:val="center"/>
          </w:tcPr>
          <w:p w14:paraId="6B948D4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2等林地</w:t>
            </w:r>
          </w:p>
        </w:tc>
        <w:tc>
          <w:tcPr>
            <w:tcW w:w="1036" w:type="dxa"/>
            <w:tcBorders>
              <w:tl2br w:val="nil"/>
              <w:tr2bl w:val="nil"/>
            </w:tcBorders>
            <w:vAlign w:val="center"/>
          </w:tcPr>
          <w:p w14:paraId="7C821CC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是</w:t>
            </w:r>
          </w:p>
        </w:tc>
        <w:tc>
          <w:tcPr>
            <w:tcW w:w="1390" w:type="dxa"/>
            <w:tcBorders>
              <w:tl2br w:val="nil"/>
              <w:tr2bl w:val="nil"/>
            </w:tcBorders>
            <w:vAlign w:val="center"/>
          </w:tcPr>
          <w:p w14:paraId="42C99E8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2026年1月-20</w:t>
            </w:r>
            <w:r>
              <w:rPr>
                <w:rFonts w:hint="eastAsia" w:ascii="Times New Roman" w:hAnsi="Times New Roman" w:cs="Times New Roman"/>
                <w:color w:val="000000" w:themeColor="text1"/>
                <w:kern w:val="0"/>
                <w:sz w:val="24"/>
                <w:szCs w:val="24"/>
              </w:rPr>
              <w:t>51</w:t>
            </w:r>
            <w:r>
              <w:rPr>
                <w:rFonts w:ascii="Times New Roman" w:hAnsi="Times New Roman" w:cs="Times New Roman"/>
                <w:color w:val="000000" w:themeColor="text1"/>
                <w:kern w:val="0"/>
                <w:sz w:val="24"/>
                <w:szCs w:val="24"/>
              </w:rPr>
              <w:t>年</w:t>
            </w:r>
            <w:r>
              <w:rPr>
                <w:rFonts w:hint="eastAsia" w:ascii="Times New Roman" w:hAnsi="Times New Roman" w:cs="Times New Roman"/>
                <w:color w:val="000000" w:themeColor="text1"/>
                <w:kern w:val="0"/>
                <w:sz w:val="24"/>
                <w:szCs w:val="24"/>
              </w:rPr>
              <w:t>12</w:t>
            </w:r>
            <w:r>
              <w:rPr>
                <w:rFonts w:ascii="Times New Roman" w:hAnsi="Times New Roman" w:cs="Times New Roman"/>
                <w:color w:val="000000" w:themeColor="text1"/>
                <w:kern w:val="0"/>
                <w:sz w:val="24"/>
                <w:szCs w:val="24"/>
              </w:rPr>
              <w:t>月</w:t>
            </w:r>
          </w:p>
        </w:tc>
        <w:tc>
          <w:tcPr>
            <w:tcW w:w="620" w:type="dxa"/>
            <w:tcBorders>
              <w:tl2br w:val="nil"/>
              <w:tr2bl w:val="nil"/>
            </w:tcBorders>
            <w:vAlign w:val="center"/>
          </w:tcPr>
          <w:p w14:paraId="729C537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乔木林地、裸岩石砾地</w:t>
            </w:r>
          </w:p>
        </w:tc>
        <w:tc>
          <w:tcPr>
            <w:tcW w:w="3148" w:type="dxa"/>
            <w:tcBorders>
              <w:tl2br w:val="nil"/>
              <w:tr2bl w:val="nil"/>
            </w:tcBorders>
            <w:vAlign w:val="center"/>
          </w:tcPr>
          <w:p w14:paraId="2CD8714E">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露天采场</w:t>
            </w:r>
          </w:p>
          <w:p w14:paraId="68946111">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1,5025035.39 ,44456230.82 </w:t>
            </w:r>
          </w:p>
          <w:p w14:paraId="1B782BA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2,5025066.17 ,44456333.76 </w:t>
            </w:r>
          </w:p>
          <w:p w14:paraId="5C2BC29A">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3,5025068.26 ,44456485.16 </w:t>
            </w:r>
          </w:p>
          <w:p w14:paraId="6D77F330">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4,5024830.79 ,44456545.04 </w:t>
            </w:r>
          </w:p>
          <w:p w14:paraId="622F0BBD">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5,5024800.55 ,44456520.92 </w:t>
            </w:r>
          </w:p>
          <w:p w14:paraId="242F13B8">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6,5024710.58 ,44456447.46 </w:t>
            </w:r>
          </w:p>
          <w:p w14:paraId="56EAC56E">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7,5024648.67 ,44456354.01 </w:t>
            </w:r>
          </w:p>
          <w:p w14:paraId="51F539EC">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8,5024629.24 ,44456312.06 </w:t>
            </w:r>
          </w:p>
          <w:p w14:paraId="17EE2EC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9,5024552.60 ,44456265.50 </w:t>
            </w:r>
          </w:p>
          <w:p w14:paraId="0FCC671A">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10,5024554.20 ,44456195.54 </w:t>
            </w:r>
          </w:p>
          <w:p w14:paraId="1589FC7C">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11,5024576.29 ,44456126.51 </w:t>
            </w:r>
          </w:p>
          <w:p w14:paraId="4B693232">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12,5024625.12 ,44456089.60 </w:t>
            </w:r>
          </w:p>
          <w:p w14:paraId="1E6E47B4">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13,5024670.49 ,44456085.95 </w:t>
            </w:r>
          </w:p>
          <w:p w14:paraId="7CDA8CE5">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14,5024815.41 ,44456092.88 </w:t>
            </w:r>
          </w:p>
          <w:p w14:paraId="624D25BA">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15,5024866.34 ,44456139.88 </w:t>
            </w:r>
          </w:p>
          <w:p w14:paraId="25F17610">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16,5024913.94 ,44456203.01 </w:t>
            </w:r>
          </w:p>
          <w:p w14:paraId="15C953DE">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17,5024988.50 ,44456210.35</w:t>
            </w:r>
          </w:p>
        </w:tc>
        <w:tc>
          <w:tcPr>
            <w:tcW w:w="771" w:type="dxa"/>
            <w:tcBorders>
              <w:tl2br w:val="nil"/>
              <w:tr2bl w:val="nil"/>
            </w:tcBorders>
            <w:vAlign w:val="center"/>
          </w:tcPr>
          <w:p w14:paraId="2E2B244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（乔木林地</w:t>
            </w:r>
            <w:r>
              <w:rPr>
                <w:rFonts w:hint="eastAsia" w:ascii="Times New Roman" w:hAnsi="Times New Roman" w:cs="Times New Roman"/>
                <w:color w:val="000000" w:themeColor="text1"/>
                <w:kern w:val="0"/>
                <w:sz w:val="24"/>
                <w:szCs w:val="24"/>
              </w:rPr>
              <w:t>11.98</w:t>
            </w:r>
            <w:r>
              <w:rPr>
                <w:rFonts w:ascii="Times New Roman" w:hAnsi="Times New Roman" w:cs="Times New Roman"/>
                <w:color w:val="000000" w:themeColor="text1"/>
                <w:kern w:val="0"/>
                <w:sz w:val="24"/>
                <w:szCs w:val="24"/>
              </w:rPr>
              <w:t>、裸岩石砾地</w:t>
            </w:r>
            <w:r>
              <w:rPr>
                <w:rFonts w:hint="eastAsia" w:ascii="Times New Roman" w:hAnsi="Times New Roman" w:cs="Times New Roman"/>
                <w:color w:val="000000" w:themeColor="text1"/>
                <w:kern w:val="0"/>
                <w:sz w:val="24"/>
                <w:szCs w:val="24"/>
              </w:rPr>
              <w:t>3.45</w:t>
            </w:r>
            <w:r>
              <w:rPr>
                <w:rFonts w:ascii="Times New Roman" w:hAnsi="Times New Roman" w:cs="Times New Roman"/>
                <w:color w:val="000000" w:themeColor="text1"/>
                <w:kern w:val="0"/>
                <w:sz w:val="24"/>
                <w:szCs w:val="24"/>
              </w:rPr>
              <w:t>）</w:t>
            </w:r>
          </w:p>
          <w:p w14:paraId="760E98D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ab/>
            </w:r>
          </w:p>
        </w:tc>
        <w:tc>
          <w:tcPr>
            <w:tcW w:w="604" w:type="dxa"/>
            <w:tcBorders>
              <w:tl2br w:val="nil"/>
              <w:tr2bl w:val="nil"/>
            </w:tcBorders>
            <w:shd w:val="clear" w:color="auto" w:fill="auto"/>
            <w:vAlign w:val="center"/>
          </w:tcPr>
          <w:p w14:paraId="5A00241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2等林地</w:t>
            </w:r>
          </w:p>
        </w:tc>
        <w:tc>
          <w:tcPr>
            <w:tcW w:w="1251" w:type="dxa"/>
            <w:tcBorders>
              <w:tl2br w:val="nil"/>
              <w:tr2bl w:val="nil"/>
            </w:tcBorders>
            <w:vAlign w:val="center"/>
          </w:tcPr>
          <w:p w14:paraId="20583E6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w:t>
            </w:r>
            <w:r>
              <w:rPr>
                <w:rFonts w:hint="eastAsia" w:ascii="Times New Roman" w:hAnsi="Times New Roman" w:cs="Times New Roman"/>
                <w:color w:val="000000" w:themeColor="text1"/>
                <w:kern w:val="0"/>
                <w:sz w:val="24"/>
                <w:szCs w:val="24"/>
              </w:rPr>
              <w:t>52</w:t>
            </w:r>
            <w:r>
              <w:rPr>
                <w:rFonts w:ascii="Times New Roman" w:hAnsi="Times New Roman" w:cs="Times New Roman"/>
                <w:color w:val="000000" w:themeColor="text1"/>
                <w:kern w:val="0"/>
                <w:sz w:val="24"/>
                <w:szCs w:val="24"/>
              </w:rPr>
              <w:t>年</w:t>
            </w:r>
            <w:r>
              <w:rPr>
                <w:rFonts w:hint="eastAsia"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rPr>
              <w:t>月-20</w:t>
            </w:r>
            <w:r>
              <w:rPr>
                <w:rFonts w:hint="eastAsia" w:ascii="Times New Roman" w:hAnsi="Times New Roman" w:cs="Times New Roman"/>
                <w:color w:val="000000" w:themeColor="text1"/>
                <w:kern w:val="0"/>
                <w:sz w:val="24"/>
                <w:szCs w:val="24"/>
              </w:rPr>
              <w:t>52</w:t>
            </w:r>
            <w:r>
              <w:rPr>
                <w:rFonts w:ascii="Times New Roman" w:hAnsi="Times New Roman" w:cs="Times New Roman"/>
                <w:color w:val="000000" w:themeColor="text1"/>
                <w:kern w:val="0"/>
                <w:sz w:val="24"/>
                <w:szCs w:val="24"/>
              </w:rPr>
              <w:t>年12月</w:t>
            </w:r>
          </w:p>
        </w:tc>
      </w:tr>
      <w:tr w14:paraId="3A6CB5E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rPr>
        <w:tc>
          <w:tcPr>
            <w:tcW w:w="541" w:type="dxa"/>
            <w:tcBorders>
              <w:tl2br w:val="nil"/>
              <w:tr2bl w:val="nil"/>
            </w:tcBorders>
            <w:vAlign w:val="center"/>
          </w:tcPr>
          <w:p w14:paraId="6BFC7A9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832" w:type="dxa"/>
            <w:tcBorders>
              <w:tl2br w:val="nil"/>
              <w:tr2bl w:val="nil"/>
            </w:tcBorders>
            <w:vAlign w:val="center"/>
          </w:tcPr>
          <w:p w14:paraId="7D556A4A">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采矿用地</w:t>
            </w:r>
          </w:p>
        </w:tc>
        <w:tc>
          <w:tcPr>
            <w:tcW w:w="3179" w:type="dxa"/>
            <w:tcBorders>
              <w:tl2br w:val="nil"/>
              <w:tr2bl w:val="nil"/>
            </w:tcBorders>
            <w:shd w:val="clear" w:color="auto" w:fill="auto"/>
            <w:vAlign w:val="center"/>
          </w:tcPr>
          <w:p w14:paraId="026A9F3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排土场：</w:t>
            </w:r>
          </w:p>
          <w:p w14:paraId="05848D4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1,5025040.213 ,44456246.949 </w:t>
            </w:r>
          </w:p>
          <w:p w14:paraId="567426B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2,5025061.302 ,44456317.479 </w:t>
            </w:r>
          </w:p>
          <w:p w14:paraId="616041E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3,5025055.017 ,44456335.758 </w:t>
            </w:r>
          </w:p>
          <w:p w14:paraId="7A37848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4,5025037.841 ,44456342.242 </w:t>
            </w:r>
          </w:p>
          <w:p w14:paraId="48513DE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5,5025022.226 ,44456332.567 </w:t>
            </w:r>
          </w:p>
          <w:p w14:paraId="031B633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6,5025013.091 ,44456300.032 </w:t>
            </w:r>
          </w:p>
          <w:p w14:paraId="41A0F11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7,5025007.473 ,44456256.752 </w:t>
            </w:r>
          </w:p>
          <w:p w14:paraId="011C244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8,5025017.173 ,44456248.058 </w:t>
            </w:r>
          </w:p>
          <w:p w14:paraId="685B914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9,5025024.869 ,44456241.161 </w:t>
            </w:r>
          </w:p>
        </w:tc>
        <w:tc>
          <w:tcPr>
            <w:tcW w:w="849" w:type="dxa"/>
            <w:tcBorders>
              <w:tl2br w:val="nil"/>
              <w:tr2bl w:val="nil"/>
            </w:tcBorders>
            <w:vAlign w:val="center"/>
          </w:tcPr>
          <w:p w14:paraId="0DFD68F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w:t>
            </w:r>
            <w:r>
              <w:rPr>
                <w:rFonts w:hint="eastAsia" w:ascii="Times New Roman" w:hAnsi="Times New Roman" w:cs="Times New Roman"/>
                <w:color w:val="000000" w:themeColor="text1"/>
                <w:kern w:val="0"/>
                <w:sz w:val="24"/>
                <w:szCs w:val="24"/>
              </w:rPr>
              <w:t>36</w:t>
            </w:r>
          </w:p>
        </w:tc>
        <w:tc>
          <w:tcPr>
            <w:tcW w:w="658" w:type="dxa"/>
            <w:tcBorders>
              <w:tl2br w:val="nil"/>
              <w:tr2bl w:val="nil"/>
            </w:tcBorders>
            <w:vAlign w:val="center"/>
          </w:tcPr>
          <w:p w14:paraId="3F52835C">
            <w:pPr>
              <w:widowControl/>
              <w:snapToGrid w:val="0"/>
              <w:jc w:val="center"/>
              <w:rPr>
                <w:rFonts w:ascii="Times New Roman" w:hAnsi="Times New Roman" w:cs="Times New Roman"/>
                <w:color w:val="000000" w:themeColor="text1"/>
                <w:kern w:val="0"/>
                <w:sz w:val="24"/>
                <w:szCs w:val="24"/>
              </w:rPr>
            </w:pPr>
          </w:p>
        </w:tc>
        <w:tc>
          <w:tcPr>
            <w:tcW w:w="1036" w:type="dxa"/>
            <w:tcBorders>
              <w:tl2br w:val="nil"/>
              <w:tr2bl w:val="nil"/>
            </w:tcBorders>
            <w:vAlign w:val="center"/>
          </w:tcPr>
          <w:p w14:paraId="0B406DD6">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是</w:t>
            </w:r>
          </w:p>
        </w:tc>
        <w:tc>
          <w:tcPr>
            <w:tcW w:w="1390" w:type="dxa"/>
            <w:tcBorders>
              <w:tl2br w:val="nil"/>
              <w:tr2bl w:val="nil"/>
            </w:tcBorders>
            <w:vAlign w:val="center"/>
          </w:tcPr>
          <w:p w14:paraId="4CD1FC6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2026年1月-20</w:t>
            </w:r>
            <w:r>
              <w:rPr>
                <w:rFonts w:hint="eastAsia" w:ascii="Times New Roman" w:hAnsi="Times New Roman" w:cs="Times New Roman"/>
                <w:color w:val="000000" w:themeColor="text1"/>
                <w:kern w:val="0"/>
                <w:sz w:val="24"/>
                <w:szCs w:val="24"/>
              </w:rPr>
              <w:t>51</w:t>
            </w:r>
            <w:r>
              <w:rPr>
                <w:rFonts w:ascii="Times New Roman" w:hAnsi="Times New Roman" w:cs="Times New Roman"/>
                <w:color w:val="000000" w:themeColor="text1"/>
                <w:kern w:val="0"/>
                <w:sz w:val="24"/>
                <w:szCs w:val="24"/>
              </w:rPr>
              <w:t>年</w:t>
            </w:r>
            <w:r>
              <w:rPr>
                <w:rFonts w:hint="eastAsia" w:ascii="Times New Roman" w:hAnsi="Times New Roman" w:cs="Times New Roman"/>
                <w:color w:val="000000" w:themeColor="text1"/>
                <w:kern w:val="0"/>
                <w:sz w:val="24"/>
                <w:szCs w:val="24"/>
              </w:rPr>
              <w:t>12</w:t>
            </w:r>
            <w:r>
              <w:rPr>
                <w:rFonts w:ascii="Times New Roman" w:hAnsi="Times New Roman" w:cs="Times New Roman"/>
                <w:color w:val="000000" w:themeColor="text1"/>
                <w:kern w:val="0"/>
                <w:sz w:val="24"/>
                <w:szCs w:val="24"/>
              </w:rPr>
              <w:t>月</w:t>
            </w:r>
          </w:p>
        </w:tc>
        <w:tc>
          <w:tcPr>
            <w:tcW w:w="620" w:type="dxa"/>
            <w:tcBorders>
              <w:tl2br w:val="nil"/>
              <w:tr2bl w:val="nil"/>
            </w:tcBorders>
            <w:vAlign w:val="center"/>
          </w:tcPr>
          <w:p w14:paraId="2319BED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乔木林地</w:t>
            </w:r>
          </w:p>
        </w:tc>
        <w:tc>
          <w:tcPr>
            <w:tcW w:w="3148" w:type="dxa"/>
            <w:tcBorders>
              <w:tl2br w:val="nil"/>
              <w:tr2bl w:val="nil"/>
            </w:tcBorders>
            <w:vAlign w:val="center"/>
          </w:tcPr>
          <w:p w14:paraId="08D76C0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排土场：</w:t>
            </w:r>
          </w:p>
          <w:p w14:paraId="11043C2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1,5025040.213 ,44456246.949 </w:t>
            </w:r>
          </w:p>
          <w:p w14:paraId="2E16105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2,5025061.302 ,44456317.479 </w:t>
            </w:r>
          </w:p>
          <w:p w14:paraId="3D4FE24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3,5025055.017 ,44456335.758 </w:t>
            </w:r>
          </w:p>
          <w:p w14:paraId="6457FC8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4,5025037.841 ,44456342.242 </w:t>
            </w:r>
          </w:p>
          <w:p w14:paraId="5FFB8E9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5,5025022.226 ,44456332.567 </w:t>
            </w:r>
          </w:p>
          <w:p w14:paraId="3FD66E2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6,5025013.091 ,44456300.032 </w:t>
            </w:r>
          </w:p>
          <w:p w14:paraId="1DB039F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7,5025007.473 ,44456256.752 </w:t>
            </w:r>
          </w:p>
          <w:p w14:paraId="13CCFAF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8,5025017.173 ,44456248.058 </w:t>
            </w:r>
          </w:p>
          <w:p w14:paraId="15F34F0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9,5025024.869 ,44456241.161</w:t>
            </w:r>
          </w:p>
        </w:tc>
        <w:tc>
          <w:tcPr>
            <w:tcW w:w="771" w:type="dxa"/>
            <w:tcBorders>
              <w:tl2br w:val="nil"/>
              <w:tr2bl w:val="nil"/>
            </w:tcBorders>
            <w:shd w:val="clear" w:color="auto" w:fill="auto"/>
            <w:vAlign w:val="center"/>
          </w:tcPr>
          <w:p w14:paraId="46302BC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w:t>
            </w:r>
            <w:r>
              <w:rPr>
                <w:rFonts w:hint="eastAsia" w:ascii="Times New Roman" w:hAnsi="Times New Roman" w:cs="Times New Roman"/>
                <w:color w:val="000000" w:themeColor="text1"/>
                <w:kern w:val="0"/>
                <w:sz w:val="24"/>
                <w:szCs w:val="24"/>
              </w:rPr>
              <w:t>36</w:t>
            </w:r>
          </w:p>
        </w:tc>
        <w:tc>
          <w:tcPr>
            <w:tcW w:w="604" w:type="dxa"/>
            <w:tcBorders>
              <w:tl2br w:val="nil"/>
              <w:tr2bl w:val="nil"/>
            </w:tcBorders>
            <w:shd w:val="clear" w:color="auto" w:fill="auto"/>
            <w:vAlign w:val="center"/>
          </w:tcPr>
          <w:p w14:paraId="1108B31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2等林地</w:t>
            </w:r>
          </w:p>
        </w:tc>
        <w:tc>
          <w:tcPr>
            <w:tcW w:w="1251" w:type="dxa"/>
            <w:tcBorders>
              <w:tl2br w:val="nil"/>
              <w:tr2bl w:val="nil"/>
            </w:tcBorders>
            <w:shd w:val="clear" w:color="auto" w:fill="auto"/>
            <w:vAlign w:val="center"/>
          </w:tcPr>
          <w:p w14:paraId="5AF005C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w:t>
            </w:r>
            <w:r>
              <w:rPr>
                <w:rFonts w:hint="eastAsia" w:ascii="Times New Roman" w:hAnsi="Times New Roman" w:cs="Times New Roman"/>
                <w:color w:val="000000" w:themeColor="text1"/>
                <w:kern w:val="0"/>
                <w:sz w:val="24"/>
                <w:szCs w:val="24"/>
              </w:rPr>
              <w:t>52</w:t>
            </w:r>
            <w:r>
              <w:rPr>
                <w:rFonts w:ascii="Times New Roman" w:hAnsi="Times New Roman" w:cs="Times New Roman"/>
                <w:color w:val="000000" w:themeColor="text1"/>
                <w:kern w:val="0"/>
                <w:sz w:val="24"/>
                <w:szCs w:val="24"/>
              </w:rPr>
              <w:t>年</w:t>
            </w:r>
            <w:r>
              <w:rPr>
                <w:rFonts w:hint="eastAsia"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rPr>
              <w:t>月-20</w:t>
            </w:r>
            <w:r>
              <w:rPr>
                <w:rFonts w:hint="eastAsia" w:ascii="Times New Roman" w:hAnsi="Times New Roman" w:cs="Times New Roman"/>
                <w:color w:val="000000" w:themeColor="text1"/>
                <w:kern w:val="0"/>
                <w:sz w:val="24"/>
                <w:szCs w:val="24"/>
              </w:rPr>
              <w:t>52</w:t>
            </w:r>
            <w:r>
              <w:rPr>
                <w:rFonts w:ascii="Times New Roman" w:hAnsi="Times New Roman" w:cs="Times New Roman"/>
                <w:color w:val="000000" w:themeColor="text1"/>
                <w:kern w:val="0"/>
                <w:sz w:val="24"/>
                <w:szCs w:val="24"/>
              </w:rPr>
              <w:t>年12月</w:t>
            </w:r>
          </w:p>
        </w:tc>
      </w:tr>
    </w:tbl>
    <w:p w14:paraId="73268EBC">
      <w:pPr>
        <w:pStyle w:val="182"/>
        <w:topLinePunct/>
        <w:ind w:firstLine="0" w:firstLineChars="0"/>
        <w:rPr>
          <w:rFonts w:ascii="Times New Roman" w:hAnsi="Times New Roman"/>
          <w:color w:val="000000" w:themeColor="text1"/>
        </w:rPr>
      </w:pPr>
    </w:p>
    <w:p w14:paraId="198F9DC2">
      <w:pPr>
        <w:pStyle w:val="182"/>
        <w:topLinePunct/>
        <w:ind w:firstLine="0" w:firstLineChars="0"/>
        <w:rPr>
          <w:rFonts w:ascii="Times New Roman" w:hAnsi="Times New Roman"/>
          <w:color w:val="000000" w:themeColor="text1"/>
        </w:rPr>
        <w:sectPr>
          <w:pgSz w:w="16838" w:h="11906" w:orient="landscape"/>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p>
    <w:p w14:paraId="5E4F61E2">
      <w:pPr>
        <w:pStyle w:val="159"/>
        <w:topLinePunct/>
        <w:rPr>
          <w:rFonts w:ascii="Times New Roman" w:hAnsi="Times New Roman" w:cs="Times New Roman"/>
          <w:color w:val="000000" w:themeColor="text1"/>
        </w:rPr>
      </w:pPr>
      <w:bookmarkStart w:id="29" w:name="_Toc5041"/>
      <w:r>
        <w:rPr>
          <w:rFonts w:ascii="Times New Roman" w:hAnsi="Times New Roman" w:cs="Times New Roman"/>
          <w:color w:val="000000" w:themeColor="text1"/>
        </w:rPr>
        <w:t>第四章 生态修复措施与工程内容</w:t>
      </w:r>
      <w:bookmarkEnd w:id="29"/>
    </w:p>
    <w:p w14:paraId="080973B0">
      <w:pPr>
        <w:pStyle w:val="174"/>
        <w:topLinePunct/>
        <w:rPr>
          <w:rFonts w:ascii="Times New Roman" w:hAnsi="Times New Roman" w:cs="Times New Roman"/>
          <w:color w:val="000000" w:themeColor="text1"/>
        </w:rPr>
      </w:pPr>
      <w:bookmarkStart w:id="30" w:name="_Toc32700"/>
      <w:r>
        <w:rPr>
          <w:rFonts w:ascii="Times New Roman" w:hAnsi="Times New Roman" w:cs="Times New Roman"/>
          <w:color w:val="000000" w:themeColor="text1"/>
        </w:rPr>
        <w:t>一、保护与预防控制措施</w:t>
      </w:r>
      <w:bookmarkEnd w:id="30"/>
    </w:p>
    <w:p w14:paraId="38B96E00">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（一）敏感目标保护</w:t>
      </w:r>
    </w:p>
    <w:p w14:paraId="13E3431A">
      <w:pPr>
        <w:pStyle w:val="178"/>
        <w:topLinePunct/>
        <w:rPr>
          <w:rFonts w:ascii="Times New Roman" w:hAnsi="Times New Roman" w:cs="Times New Roman"/>
          <w:color w:val="000000" w:themeColor="text1"/>
        </w:rPr>
      </w:pPr>
      <w:r>
        <w:rPr>
          <w:rFonts w:ascii="Times New Roman" w:hAnsi="Times New Roman" w:cs="Times New Roman"/>
          <w:color w:val="000000" w:themeColor="text1"/>
        </w:rPr>
        <w:t>项目区不涉及生态红线，不在国家和省级划定的自然保护区、风景名胜区、湿地公园、森林公园、基本农田等范围内。无需要保护的敏感目标，不设置避让、减缓、保护等措施。</w:t>
      </w:r>
    </w:p>
    <w:p w14:paraId="350E1971">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（二）表土剥离与植被移植利用</w:t>
      </w:r>
    </w:p>
    <w:p w14:paraId="12830E19">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1、表土剥离</w:t>
      </w:r>
    </w:p>
    <w:p w14:paraId="01B5F88E">
      <w:pPr>
        <w:pStyle w:val="178"/>
        <w:topLinePunct/>
        <w:rPr>
          <w:rFonts w:ascii="Times New Roman" w:hAnsi="Times New Roman" w:cs="Times New Roman"/>
          <w:color w:val="000000" w:themeColor="text1"/>
        </w:rPr>
      </w:pPr>
      <w:r>
        <w:rPr>
          <w:rFonts w:ascii="Times New Roman" w:hAnsi="Times New Roman" w:cs="Times New Roman"/>
          <w:color w:val="000000" w:themeColor="text1"/>
        </w:rPr>
        <w:t>开采前矿山将对采掘场内可进行开采的耕地（旱地</w:t>
      </w:r>
      <w:r>
        <w:rPr>
          <w:rFonts w:hint="eastAsia" w:ascii="Times New Roman" w:hAnsi="Times New Roman" w:cs="Times New Roman"/>
          <w:color w:val="000000" w:themeColor="text1"/>
        </w:rPr>
        <w:t>0.20</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）和</w:t>
      </w:r>
      <w:r>
        <w:rPr>
          <w:rFonts w:hint="eastAsia" w:ascii="Times New Roman" w:hAnsi="Times New Roman" w:cs="Times New Roman"/>
          <w:color w:val="000000" w:themeColor="text1"/>
        </w:rPr>
        <w:t>草</w:t>
      </w:r>
      <w:r>
        <w:rPr>
          <w:rFonts w:ascii="Times New Roman" w:hAnsi="Times New Roman" w:cs="Times New Roman"/>
          <w:color w:val="000000" w:themeColor="text1"/>
        </w:rPr>
        <w:t>地（</w:t>
      </w:r>
      <w:r>
        <w:rPr>
          <w:rFonts w:hint="eastAsia" w:ascii="Times New Roman" w:hAnsi="Times New Roman" w:cs="Times New Roman"/>
          <w:color w:val="000000" w:themeColor="text1"/>
        </w:rPr>
        <w:t>其他草地0.</w:t>
      </w:r>
      <w:r>
        <w:rPr>
          <w:rFonts w:ascii="Times New Roman" w:hAnsi="Times New Roman" w:cs="Times New Roman"/>
          <w:color w:val="000000" w:themeColor="text1"/>
        </w:rPr>
        <w:t>7</w:t>
      </w:r>
      <w:r>
        <w:rPr>
          <w:rFonts w:hint="eastAsia" w:ascii="Times New Roman" w:hAnsi="Times New Roman" w:cs="Times New Roman"/>
          <w:color w:val="000000" w:themeColor="text1"/>
        </w:rPr>
        <w:t>0</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）区域进行表土剥离，本次开采采用边剥离边开采，至表土剥离完毕，可剥离总面积为</w:t>
      </w:r>
      <w:r>
        <w:rPr>
          <w:rFonts w:hint="eastAsia" w:ascii="Times New Roman" w:hAnsi="Times New Roman" w:cs="Times New Roman"/>
          <w:color w:val="000000" w:themeColor="text1"/>
        </w:rPr>
        <w:t>0.90</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，其中剥离旱地总面积</w:t>
      </w:r>
      <w:r>
        <w:rPr>
          <w:rFonts w:hint="eastAsia" w:ascii="Times New Roman" w:hAnsi="Times New Roman" w:cs="Times New Roman"/>
          <w:color w:val="000000" w:themeColor="text1"/>
        </w:rPr>
        <w:t>0.20</w:t>
      </w:r>
      <w:r>
        <w:rPr>
          <w:rFonts w:ascii="Times New Roman" w:hAnsi="Times New Roman" w:cs="Times New Roman"/>
          <w:color w:val="000000" w:themeColor="text1"/>
        </w:rPr>
        <w:t xml:space="preserve"> 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，剥离平均厚度 0.</w:t>
      </w:r>
      <w:r>
        <w:rPr>
          <w:rFonts w:hint="eastAsia" w:ascii="Times New Roman" w:hAnsi="Times New Roman" w:cs="Times New Roman"/>
          <w:color w:val="000000" w:themeColor="text1"/>
        </w:rPr>
        <w:t>3</w:t>
      </w:r>
      <w:r>
        <w:rPr>
          <w:rFonts w:ascii="Times New Roman" w:hAnsi="Times New Roman" w:cs="Times New Roman"/>
          <w:color w:val="000000" w:themeColor="text1"/>
        </w:rPr>
        <w:t>m，剥离表土量为</w:t>
      </w:r>
      <w:r>
        <w:rPr>
          <w:rFonts w:hint="eastAsia" w:ascii="Times New Roman" w:hAnsi="Times New Roman" w:cs="Times New Roman"/>
          <w:color w:val="000000" w:themeColor="text1"/>
        </w:rPr>
        <w:t>0.06</w:t>
      </w:r>
      <w:r>
        <w:rPr>
          <w:rFonts w:ascii="Times New Roman" w:hAnsi="Times New Roman" w:cs="Times New Roman"/>
          <w:color w:val="000000" w:themeColor="text1"/>
        </w:rPr>
        <w:t>万</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；剥离</w:t>
      </w:r>
      <w:r>
        <w:rPr>
          <w:rFonts w:hint="eastAsia" w:ascii="Times New Roman" w:hAnsi="Times New Roman" w:cs="Times New Roman"/>
          <w:color w:val="000000" w:themeColor="text1"/>
        </w:rPr>
        <w:t>其他草地</w:t>
      </w:r>
      <w:r>
        <w:rPr>
          <w:rFonts w:ascii="Times New Roman" w:hAnsi="Times New Roman" w:cs="Times New Roman"/>
          <w:color w:val="000000" w:themeColor="text1"/>
        </w:rPr>
        <w:t>总面积0.7</w:t>
      </w:r>
      <w:r>
        <w:rPr>
          <w:rFonts w:hint="eastAsia" w:ascii="Times New Roman" w:hAnsi="Times New Roman" w:cs="Times New Roman"/>
          <w:color w:val="000000" w:themeColor="text1"/>
        </w:rPr>
        <w:t>0</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，剥离平均厚度 0.3m，剥离表土量为0.</w:t>
      </w:r>
      <w:r>
        <w:rPr>
          <w:rFonts w:hint="eastAsia" w:ascii="Times New Roman" w:hAnsi="Times New Roman" w:cs="Times New Roman"/>
          <w:color w:val="000000" w:themeColor="text1"/>
        </w:rPr>
        <w:t>21</w:t>
      </w:r>
      <w:r>
        <w:rPr>
          <w:rFonts w:ascii="Times New Roman" w:hAnsi="Times New Roman" w:cs="Times New Roman"/>
          <w:color w:val="000000" w:themeColor="text1"/>
        </w:rPr>
        <w:t>万</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。剥离表土总量为</w:t>
      </w:r>
      <w:r>
        <w:rPr>
          <w:rFonts w:hint="eastAsia" w:ascii="Times New Roman" w:hAnsi="Times New Roman" w:cs="Times New Roman"/>
          <w:color w:val="000000" w:themeColor="text1"/>
        </w:rPr>
        <w:t>0.27</w:t>
      </w:r>
      <w:r>
        <w:rPr>
          <w:rFonts w:ascii="Times New Roman" w:hAnsi="Times New Roman" w:cs="Times New Roman"/>
          <w:color w:val="000000" w:themeColor="text1"/>
        </w:rPr>
        <w:t>万</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，设计将剥离的存储于排土场内，在土堆表面撒播种草，以保持土壤。剥离的表土存储于排土场用于矿区复垦使用。</w:t>
      </w:r>
    </w:p>
    <w:p w14:paraId="7FEDA1FC">
      <w:pPr>
        <w:pStyle w:val="178"/>
        <w:topLinePunct/>
        <w:rPr>
          <w:rFonts w:ascii="Times New Roman" w:hAnsi="Times New Roman" w:cs="Times New Roman"/>
          <w:color w:val="000000" w:themeColor="text1"/>
        </w:rPr>
      </w:pPr>
      <w:r>
        <w:rPr>
          <w:rFonts w:ascii="Times New Roman" w:hAnsi="Times New Roman" w:cs="Times New Roman"/>
          <w:color w:val="000000" w:themeColor="text1"/>
        </w:rPr>
        <w:t>2、表土管护工程</w:t>
      </w:r>
    </w:p>
    <w:p w14:paraId="5BEED35E">
      <w:pPr>
        <w:pStyle w:val="178"/>
        <w:topLinePunct/>
        <w:rPr>
          <w:rFonts w:ascii="Times New Roman" w:hAnsi="Times New Roman" w:cs="Times New Roman"/>
          <w:color w:val="000000" w:themeColor="text1"/>
        </w:rPr>
      </w:pPr>
      <w:r>
        <w:rPr>
          <w:rFonts w:ascii="Times New Roman" w:hAnsi="Times New Roman" w:cs="Times New Roman"/>
          <w:color w:val="000000" w:themeColor="text1"/>
        </w:rPr>
        <w:t>由于本次表土最长堆积时间约</w:t>
      </w:r>
      <w:r>
        <w:rPr>
          <w:rFonts w:hint="eastAsia" w:ascii="Times New Roman" w:hAnsi="Times New Roman" w:cs="Times New Roman"/>
          <w:color w:val="000000" w:themeColor="text1"/>
        </w:rPr>
        <w:t>26</w:t>
      </w:r>
      <w:r>
        <w:rPr>
          <w:rFonts w:ascii="Times New Roman" w:hAnsi="Times New Roman" w:cs="Times New Roman"/>
          <w:color w:val="000000" w:themeColor="text1"/>
        </w:rPr>
        <w:t>年，堆存时间较长，为防止防止水土流失及剥离表土肥力的损失，需对堆积的表土进行培肥措施，本方案设计在表土堆表面进行撒播草籽，草种为高羊茅草，技术指标为80kg/h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。拟建表土场占地面积0.</w:t>
      </w:r>
      <w:r>
        <w:rPr>
          <w:rFonts w:hint="eastAsia" w:ascii="Times New Roman" w:hAnsi="Times New Roman" w:cs="Times New Roman"/>
          <w:color w:val="000000" w:themeColor="text1"/>
        </w:rPr>
        <w:t>12</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，堆高5m，按照表土堆场1:1系数估算表土堆表面积，并根据表土堆表面积估算撒播面积，撒播面积为0.</w:t>
      </w:r>
      <w:r>
        <w:rPr>
          <w:rFonts w:hint="eastAsia" w:ascii="Times New Roman" w:hAnsi="Times New Roman" w:cs="Times New Roman"/>
          <w:color w:val="000000" w:themeColor="text1"/>
        </w:rPr>
        <w:t>13</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w:t>
      </w:r>
    </w:p>
    <w:p w14:paraId="7B1772F7">
      <w:pPr>
        <w:pStyle w:val="178"/>
        <w:topLinePunct/>
        <w:rPr>
          <w:rFonts w:ascii="Times New Roman" w:hAnsi="Times New Roman" w:cs="Times New Roman"/>
          <w:color w:val="000000" w:themeColor="text1"/>
        </w:rPr>
      </w:pPr>
      <w:r>
        <w:rPr>
          <w:rFonts w:ascii="Times New Roman" w:hAnsi="Times New Roman" w:cs="Times New Roman"/>
          <w:color w:val="000000" w:themeColor="text1"/>
        </w:rPr>
        <w:t>排土场表土长期堆存，容易造成水土流失，为防止本项目剥离表土的流失，本方案设计开采过程中在堆存表土的坡脚处修建石笼挡墙措施，本次的拦挡主要以防为主。修建石笼挡墙的结构采取钢筋骨架结构，采用直径8-12mm钢筋焊接而成，每块石笼网片尺寸为3m×0.6m×1m（长×宽×高），石笼内所填石块来源于矿山废石。在组装石笼过程中，对石笼用14#铁丝绑扎，控制石笼绑扎间距，绑扎间距宽度不能超过35cm。挡墙为台阶式，地面以上为两级台阶，上面台阶高、宽都是1m，下面台阶高、宽都是1.5m。地面以下基础埋深0.5m、宽1.5m，底部为砂砾石。根据设计每延长米石笼挡墙需基础平整土方开挖0.75</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、石笼3.25</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。需设置石笼挡墙总长度为</w:t>
      </w:r>
      <w:r>
        <w:rPr>
          <w:rFonts w:hint="eastAsia" w:ascii="Times New Roman" w:hAnsi="Times New Roman" w:cs="Times New Roman"/>
          <w:color w:val="000000" w:themeColor="text1"/>
        </w:rPr>
        <w:t>140</w:t>
      </w:r>
      <w:r>
        <w:rPr>
          <w:rFonts w:ascii="Times New Roman" w:hAnsi="Times New Roman" w:cs="Times New Roman"/>
          <w:color w:val="000000" w:themeColor="text1"/>
        </w:rPr>
        <w:t>m，需要土方开挖</w:t>
      </w:r>
      <w:r>
        <w:rPr>
          <w:rFonts w:hint="eastAsia" w:ascii="Times New Roman" w:hAnsi="Times New Roman" w:cs="Times New Roman"/>
          <w:color w:val="000000" w:themeColor="text1"/>
        </w:rPr>
        <w:t>105</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、石笼</w:t>
      </w:r>
      <w:r>
        <w:rPr>
          <w:rFonts w:hint="eastAsia" w:ascii="Times New Roman" w:hAnsi="Times New Roman" w:cs="Times New Roman"/>
          <w:color w:val="000000" w:themeColor="text1"/>
        </w:rPr>
        <w:t>455</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w:t>
      </w:r>
    </w:p>
    <w:p w14:paraId="56FA61E3">
      <w:pPr>
        <w:pStyle w:val="178"/>
        <w:topLinePunct/>
        <w:rPr>
          <w:rFonts w:ascii="Times New Roman" w:hAnsi="Times New Roman" w:cs="Times New Roman"/>
          <w:color w:val="000000" w:themeColor="text1"/>
        </w:rPr>
      </w:pPr>
      <w:r>
        <w:rPr>
          <w:rFonts w:ascii="Times New Roman" w:hAnsi="Times New Roman" w:cs="Times New Roman"/>
          <w:color w:val="000000" w:themeColor="text1"/>
        </w:rPr>
        <w:t>3、主要工程量</w:t>
      </w:r>
    </w:p>
    <w:p w14:paraId="2BAACBA5">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根据治理措施工程设计，本项目中表土剥离与植被移植利用工程量测算见表4-1</w:t>
      </w:r>
    </w:p>
    <w:p w14:paraId="1F7B3369">
      <w:pPr>
        <w:pStyle w:val="182"/>
        <w:topLinePunct/>
        <w:ind w:firstLine="0" w:firstLineChars="0"/>
        <w:rPr>
          <w:rFonts w:ascii="Times New Roman" w:hAnsi="Times New Roman"/>
          <w:color w:val="000000" w:themeColor="text1"/>
        </w:rPr>
      </w:pPr>
      <w:r>
        <w:rPr>
          <w:rFonts w:ascii="Times New Roman" w:hAnsi="Times New Roman"/>
          <w:color w:val="000000" w:themeColor="text1"/>
        </w:rPr>
        <w:t>表4-1</w:t>
      </w:r>
      <w:r>
        <w:rPr>
          <w:rFonts w:ascii="Times New Roman" w:hAnsi="Times New Roman"/>
          <w:color w:val="000000" w:themeColor="text1"/>
        </w:rPr>
        <w:tab/>
      </w:r>
      <w:r>
        <w:rPr>
          <w:rFonts w:ascii="Times New Roman" w:hAnsi="Times New Roman"/>
          <w:color w:val="000000" w:themeColor="text1"/>
        </w:rPr>
        <w:t>表土剥离工程工程量统计表</w:t>
      </w:r>
    </w:p>
    <w:tbl>
      <w:tblPr>
        <w:tblStyle w:val="185"/>
        <w:tblW w:w="5017" w:type="pct"/>
        <w:tblInd w:w="0" w:type="dxa"/>
        <w:tblLayout w:type="fixed"/>
        <w:tblCellMar>
          <w:top w:w="0" w:type="dxa"/>
          <w:left w:w="0" w:type="dxa"/>
          <w:bottom w:w="0" w:type="dxa"/>
          <w:right w:w="0" w:type="dxa"/>
        </w:tblCellMar>
      </w:tblPr>
      <w:tblGrid>
        <w:gridCol w:w="1241"/>
        <w:gridCol w:w="3081"/>
        <w:gridCol w:w="2872"/>
        <w:gridCol w:w="1656"/>
      </w:tblGrid>
      <w:tr w14:paraId="49697492">
        <w:tblPrEx>
          <w:tblCellMar>
            <w:top w:w="0" w:type="dxa"/>
            <w:left w:w="0" w:type="dxa"/>
            <w:bottom w:w="0" w:type="dxa"/>
            <w:right w:w="0" w:type="dxa"/>
          </w:tblCellMar>
        </w:tblPrEx>
        <w:trPr>
          <w:trHeight w:val="20" w:hRule="atLeast"/>
        </w:trPr>
        <w:tc>
          <w:tcPr>
            <w:tcW w:w="1237" w:type="dxa"/>
            <w:tcBorders>
              <w:top w:val="single" w:color="000000" w:sz="12" w:space="0"/>
              <w:left w:val="single" w:color="000000" w:sz="12" w:space="0"/>
              <w:bottom w:val="single" w:color="000000" w:sz="4" w:space="0"/>
              <w:right w:val="single" w:color="000000" w:sz="4" w:space="0"/>
            </w:tcBorders>
            <w:vAlign w:val="center"/>
          </w:tcPr>
          <w:p w14:paraId="4F4917F3">
            <w:pPr>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序号</w:t>
            </w:r>
          </w:p>
        </w:tc>
        <w:tc>
          <w:tcPr>
            <w:tcW w:w="3071" w:type="dxa"/>
            <w:tcBorders>
              <w:top w:val="single" w:color="000000" w:sz="12" w:space="0"/>
              <w:left w:val="single" w:color="000000" w:sz="4" w:space="0"/>
              <w:bottom w:val="single" w:color="000000" w:sz="4" w:space="0"/>
              <w:right w:val="single" w:color="000000" w:sz="4" w:space="0"/>
            </w:tcBorders>
            <w:vAlign w:val="center"/>
          </w:tcPr>
          <w:p w14:paraId="2BC3A4D0">
            <w:pPr>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工程名称</w:t>
            </w:r>
          </w:p>
        </w:tc>
        <w:tc>
          <w:tcPr>
            <w:tcW w:w="2862" w:type="dxa"/>
            <w:tcBorders>
              <w:top w:val="single" w:color="000000" w:sz="12" w:space="0"/>
              <w:left w:val="single" w:color="000000" w:sz="4" w:space="0"/>
              <w:bottom w:val="single" w:color="000000" w:sz="4" w:space="0"/>
              <w:right w:val="single" w:color="000000" w:sz="4" w:space="0"/>
            </w:tcBorders>
            <w:vAlign w:val="center"/>
          </w:tcPr>
          <w:p w14:paraId="349243A1">
            <w:pPr>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计算单位</w:t>
            </w:r>
          </w:p>
        </w:tc>
        <w:tc>
          <w:tcPr>
            <w:tcW w:w="1650" w:type="dxa"/>
            <w:tcBorders>
              <w:top w:val="single" w:color="000000" w:sz="12" w:space="0"/>
              <w:left w:val="single" w:color="000000" w:sz="4" w:space="0"/>
              <w:bottom w:val="single" w:color="000000" w:sz="4" w:space="0"/>
              <w:right w:val="single" w:color="000000" w:sz="12" w:space="0"/>
            </w:tcBorders>
            <w:vAlign w:val="center"/>
          </w:tcPr>
          <w:p w14:paraId="57BDF37E">
            <w:pPr>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工程量</w:t>
            </w:r>
          </w:p>
        </w:tc>
      </w:tr>
      <w:tr w14:paraId="0A5644E6">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3D5CC5E1">
            <w:pPr>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3071" w:type="dxa"/>
            <w:tcBorders>
              <w:top w:val="single" w:color="000000" w:sz="4" w:space="0"/>
              <w:left w:val="single" w:color="000000" w:sz="4" w:space="0"/>
              <w:bottom w:val="single" w:color="000000" w:sz="4" w:space="0"/>
              <w:right w:val="single" w:color="000000" w:sz="4" w:space="0"/>
            </w:tcBorders>
            <w:vAlign w:val="center"/>
          </w:tcPr>
          <w:p w14:paraId="40CCAD57">
            <w:pPr>
              <w:pStyle w:val="156"/>
              <w:snapToGrid w:val="0"/>
              <w:spacing w:line="240" w:lineRule="auto"/>
              <w:ind w:left="110"/>
              <w:jc w:val="center"/>
              <w:rPr>
                <w:rFonts w:eastAsiaTheme="minorEastAsia"/>
                <w:color w:val="000000" w:themeColor="text1"/>
                <w:lang w:eastAsia="zh-CN"/>
              </w:rPr>
            </w:pPr>
            <w:r>
              <w:rPr>
                <w:rFonts w:eastAsiaTheme="minorEastAsia"/>
                <w:color w:val="000000" w:themeColor="text1"/>
                <w:lang w:eastAsia="zh-CN"/>
              </w:rPr>
              <w:t>表土剥离与植被移植利用</w:t>
            </w:r>
          </w:p>
        </w:tc>
        <w:tc>
          <w:tcPr>
            <w:tcW w:w="2862" w:type="dxa"/>
            <w:tcBorders>
              <w:top w:val="single" w:color="000000" w:sz="4" w:space="0"/>
              <w:left w:val="single" w:color="000000" w:sz="4" w:space="0"/>
              <w:bottom w:val="single" w:color="000000" w:sz="4" w:space="0"/>
              <w:right w:val="single" w:color="000000" w:sz="4" w:space="0"/>
            </w:tcBorders>
            <w:vAlign w:val="center"/>
          </w:tcPr>
          <w:p w14:paraId="769EB0DA">
            <w:pPr>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650" w:type="dxa"/>
            <w:tcBorders>
              <w:top w:val="single" w:color="000000" w:sz="4" w:space="0"/>
              <w:left w:val="single" w:color="000000" w:sz="4" w:space="0"/>
              <w:bottom w:val="single" w:color="000000" w:sz="4" w:space="0"/>
              <w:right w:val="single" w:color="000000" w:sz="12" w:space="0"/>
            </w:tcBorders>
            <w:vAlign w:val="center"/>
          </w:tcPr>
          <w:p w14:paraId="32191866">
            <w:pPr>
              <w:pStyle w:val="156"/>
              <w:snapToGrid w:val="0"/>
              <w:spacing w:line="240" w:lineRule="auto"/>
              <w:ind w:left="110"/>
              <w:jc w:val="center"/>
              <w:rPr>
                <w:rFonts w:eastAsiaTheme="minorEastAsia"/>
                <w:color w:val="000000" w:themeColor="text1"/>
                <w:lang w:eastAsia="zh-CN"/>
              </w:rPr>
            </w:pPr>
          </w:p>
        </w:tc>
      </w:tr>
      <w:tr w14:paraId="516F4317">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16FEF233">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（一）</w:t>
            </w:r>
          </w:p>
        </w:tc>
        <w:tc>
          <w:tcPr>
            <w:tcW w:w="3071" w:type="dxa"/>
            <w:tcBorders>
              <w:top w:val="single" w:color="000000" w:sz="4" w:space="0"/>
              <w:left w:val="single" w:color="000000" w:sz="4" w:space="0"/>
              <w:bottom w:val="single" w:color="000000" w:sz="4" w:space="0"/>
              <w:right w:val="single" w:color="000000" w:sz="4" w:space="0"/>
            </w:tcBorders>
            <w:vAlign w:val="center"/>
          </w:tcPr>
          <w:p w14:paraId="256D49D6">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表土剥离工程</w:t>
            </w:r>
          </w:p>
        </w:tc>
        <w:tc>
          <w:tcPr>
            <w:tcW w:w="2862" w:type="dxa"/>
            <w:tcBorders>
              <w:top w:val="single" w:color="000000" w:sz="4" w:space="0"/>
              <w:left w:val="single" w:color="000000" w:sz="4" w:space="0"/>
              <w:bottom w:val="single" w:color="000000" w:sz="4" w:space="0"/>
              <w:right w:val="single" w:color="000000" w:sz="4" w:space="0"/>
            </w:tcBorders>
            <w:vAlign w:val="center"/>
          </w:tcPr>
          <w:p w14:paraId="1E1215BB">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w:t>
            </w:r>
          </w:p>
        </w:tc>
        <w:tc>
          <w:tcPr>
            <w:tcW w:w="1650" w:type="dxa"/>
            <w:tcBorders>
              <w:top w:val="single" w:color="000000" w:sz="4" w:space="0"/>
              <w:left w:val="single" w:color="000000" w:sz="4" w:space="0"/>
              <w:bottom w:val="single" w:color="000000" w:sz="4" w:space="0"/>
              <w:right w:val="single" w:color="000000" w:sz="12" w:space="0"/>
            </w:tcBorders>
            <w:vAlign w:val="center"/>
          </w:tcPr>
          <w:p w14:paraId="7E900BD1">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w:t>
            </w:r>
          </w:p>
        </w:tc>
      </w:tr>
      <w:tr w14:paraId="3CCA5CF6">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190C5DD0">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w:t>
            </w:r>
          </w:p>
        </w:tc>
        <w:tc>
          <w:tcPr>
            <w:tcW w:w="3071" w:type="dxa"/>
            <w:tcBorders>
              <w:top w:val="single" w:color="000000" w:sz="4" w:space="0"/>
              <w:left w:val="single" w:color="000000" w:sz="4" w:space="0"/>
              <w:bottom w:val="single" w:color="000000" w:sz="4" w:space="0"/>
              <w:right w:val="single" w:color="000000" w:sz="4" w:space="0"/>
            </w:tcBorders>
            <w:vAlign w:val="center"/>
          </w:tcPr>
          <w:p w14:paraId="06190585">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表土剥离</w:t>
            </w:r>
          </w:p>
        </w:tc>
        <w:tc>
          <w:tcPr>
            <w:tcW w:w="2862" w:type="dxa"/>
            <w:tcBorders>
              <w:top w:val="single" w:color="000000" w:sz="4" w:space="0"/>
              <w:left w:val="single" w:color="000000" w:sz="4" w:space="0"/>
              <w:bottom w:val="single" w:color="000000" w:sz="4" w:space="0"/>
              <w:right w:val="single" w:color="000000" w:sz="4" w:space="0"/>
            </w:tcBorders>
            <w:vAlign w:val="center"/>
          </w:tcPr>
          <w:p w14:paraId="2F92728E">
            <w:pPr>
              <w:snapToGrid w:val="0"/>
              <w:spacing w:line="240" w:lineRule="auto"/>
              <w:jc w:val="center"/>
              <w:rPr>
                <w:rFonts w:hint="eastAsia" w:ascii="Times New Roman" w:hAnsi="Times New Roman" w:cs="Times New Roman" w:eastAsiaTheme="minorEastAsia"/>
                <w:color w:val="000000" w:themeColor="text1"/>
                <w:kern w:val="0"/>
                <w:sz w:val="24"/>
                <w:szCs w:val="24"/>
                <w:lang w:eastAsia="zh-CN"/>
              </w:rPr>
            </w:pP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p>
        </w:tc>
        <w:tc>
          <w:tcPr>
            <w:tcW w:w="1650" w:type="dxa"/>
            <w:tcBorders>
              <w:top w:val="single" w:color="000000" w:sz="4" w:space="0"/>
              <w:left w:val="single" w:color="000000" w:sz="4" w:space="0"/>
              <w:bottom w:val="single" w:color="000000" w:sz="4" w:space="0"/>
              <w:right w:val="single" w:color="000000" w:sz="12" w:space="0"/>
            </w:tcBorders>
            <w:vAlign w:val="center"/>
          </w:tcPr>
          <w:p w14:paraId="56F3BC22">
            <w:pPr>
              <w:pStyle w:val="156"/>
              <w:snapToGrid w:val="0"/>
              <w:spacing w:line="240" w:lineRule="auto"/>
              <w:ind w:left="110"/>
              <w:jc w:val="center"/>
              <w:rPr>
                <w:rFonts w:eastAsiaTheme="minorEastAsia"/>
                <w:color w:val="000000" w:themeColor="text1"/>
                <w:lang w:eastAsia="en-US"/>
              </w:rPr>
            </w:pPr>
            <w:r>
              <w:rPr>
                <w:rFonts w:hint="eastAsia" w:eastAsiaTheme="minorEastAsia"/>
                <w:color w:val="000000" w:themeColor="text1"/>
                <w:lang w:eastAsia="en-US"/>
              </w:rPr>
              <w:t>2700</w:t>
            </w:r>
          </w:p>
        </w:tc>
      </w:tr>
      <w:tr w14:paraId="73EBB4C7">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172CCE34">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（二）</w:t>
            </w:r>
          </w:p>
        </w:tc>
        <w:tc>
          <w:tcPr>
            <w:tcW w:w="3071" w:type="dxa"/>
            <w:tcBorders>
              <w:top w:val="single" w:color="000000" w:sz="4" w:space="0"/>
              <w:left w:val="single" w:color="000000" w:sz="4" w:space="0"/>
              <w:bottom w:val="single" w:color="000000" w:sz="4" w:space="0"/>
              <w:right w:val="single" w:color="000000" w:sz="4" w:space="0"/>
            </w:tcBorders>
            <w:vAlign w:val="center"/>
          </w:tcPr>
          <w:p w14:paraId="5E7646D0">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表土管护工程</w:t>
            </w:r>
          </w:p>
        </w:tc>
        <w:tc>
          <w:tcPr>
            <w:tcW w:w="2862" w:type="dxa"/>
            <w:tcBorders>
              <w:top w:val="single" w:color="000000" w:sz="4" w:space="0"/>
              <w:left w:val="single" w:color="000000" w:sz="4" w:space="0"/>
              <w:bottom w:val="single" w:color="000000" w:sz="4" w:space="0"/>
              <w:right w:val="single" w:color="000000" w:sz="4" w:space="0"/>
            </w:tcBorders>
            <w:vAlign w:val="center"/>
          </w:tcPr>
          <w:p w14:paraId="1C7F7585">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w:t>
            </w:r>
          </w:p>
        </w:tc>
        <w:tc>
          <w:tcPr>
            <w:tcW w:w="1650" w:type="dxa"/>
            <w:tcBorders>
              <w:top w:val="single" w:color="000000" w:sz="4" w:space="0"/>
              <w:left w:val="single" w:color="000000" w:sz="4" w:space="0"/>
              <w:bottom w:val="single" w:color="000000" w:sz="4" w:space="0"/>
              <w:right w:val="single" w:color="000000" w:sz="12" w:space="0"/>
            </w:tcBorders>
            <w:vAlign w:val="center"/>
          </w:tcPr>
          <w:p w14:paraId="152B0FD3">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w:t>
            </w:r>
          </w:p>
        </w:tc>
      </w:tr>
      <w:tr w14:paraId="58475B31">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4E8FB13F">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w:t>
            </w:r>
          </w:p>
        </w:tc>
        <w:tc>
          <w:tcPr>
            <w:tcW w:w="3071" w:type="dxa"/>
            <w:tcBorders>
              <w:top w:val="single" w:color="000000" w:sz="4" w:space="0"/>
              <w:left w:val="single" w:color="000000" w:sz="4" w:space="0"/>
              <w:bottom w:val="single" w:color="000000" w:sz="4" w:space="0"/>
              <w:right w:val="single" w:color="000000" w:sz="4" w:space="0"/>
            </w:tcBorders>
            <w:vAlign w:val="center"/>
          </w:tcPr>
          <w:p w14:paraId="4AEA2FB1">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撒播种草</w:t>
            </w:r>
          </w:p>
        </w:tc>
        <w:tc>
          <w:tcPr>
            <w:tcW w:w="2862" w:type="dxa"/>
            <w:tcBorders>
              <w:top w:val="single" w:color="000000" w:sz="4" w:space="0"/>
              <w:left w:val="single" w:color="000000" w:sz="4" w:space="0"/>
              <w:bottom w:val="single" w:color="000000" w:sz="4" w:space="0"/>
              <w:right w:val="single" w:color="000000" w:sz="4" w:space="0"/>
            </w:tcBorders>
            <w:vAlign w:val="center"/>
          </w:tcPr>
          <w:p w14:paraId="2928A13B">
            <w:pPr>
              <w:snapToGrid w:val="0"/>
              <w:spacing w:line="240" w:lineRule="auto"/>
              <w:jc w:val="center"/>
              <w:rPr>
                <w:rFonts w:hint="eastAsia"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en-US"/>
              </w:rPr>
              <w:t>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p>
        </w:tc>
        <w:tc>
          <w:tcPr>
            <w:tcW w:w="1650" w:type="dxa"/>
            <w:tcBorders>
              <w:top w:val="single" w:color="000000" w:sz="4" w:space="0"/>
              <w:left w:val="single" w:color="000000" w:sz="4" w:space="0"/>
              <w:bottom w:val="single" w:color="000000" w:sz="4" w:space="0"/>
              <w:right w:val="single" w:color="000000" w:sz="12" w:space="0"/>
            </w:tcBorders>
            <w:vAlign w:val="center"/>
          </w:tcPr>
          <w:p w14:paraId="76EE522F">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0.</w:t>
            </w:r>
            <w:r>
              <w:rPr>
                <w:rFonts w:hint="eastAsia" w:eastAsiaTheme="minorEastAsia"/>
                <w:color w:val="000000" w:themeColor="text1"/>
                <w:lang w:eastAsia="en-US"/>
              </w:rPr>
              <w:t>13</w:t>
            </w:r>
          </w:p>
        </w:tc>
      </w:tr>
      <w:tr w14:paraId="10F4E81E">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58257740">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w:t>
            </w:r>
          </w:p>
        </w:tc>
        <w:tc>
          <w:tcPr>
            <w:tcW w:w="3071" w:type="dxa"/>
            <w:tcBorders>
              <w:top w:val="single" w:color="000000" w:sz="4" w:space="0"/>
              <w:left w:val="single" w:color="000000" w:sz="4" w:space="0"/>
              <w:bottom w:val="single" w:color="000000" w:sz="4" w:space="0"/>
              <w:right w:val="single" w:color="000000" w:sz="4" w:space="0"/>
            </w:tcBorders>
            <w:vAlign w:val="center"/>
          </w:tcPr>
          <w:p w14:paraId="0B135C31">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石笼挡墙土方开挖</w:t>
            </w:r>
          </w:p>
        </w:tc>
        <w:tc>
          <w:tcPr>
            <w:tcW w:w="2862" w:type="dxa"/>
            <w:tcBorders>
              <w:top w:val="single" w:color="000000" w:sz="4" w:space="0"/>
              <w:left w:val="single" w:color="000000" w:sz="4" w:space="0"/>
              <w:bottom w:val="single" w:color="000000" w:sz="4" w:space="0"/>
              <w:right w:val="single" w:color="000000" w:sz="4" w:space="0"/>
            </w:tcBorders>
            <w:vAlign w:val="center"/>
          </w:tcPr>
          <w:p w14:paraId="6DC08BF3">
            <w:pPr>
              <w:snapToGrid w:val="0"/>
              <w:spacing w:line="240" w:lineRule="auto"/>
              <w:jc w:val="center"/>
              <w:rPr>
                <w:rFonts w:hint="eastAsia" w:ascii="Times New Roman" w:hAnsi="Times New Roman" w:cs="Times New Roman" w:eastAsiaTheme="minorEastAsia"/>
                <w:color w:val="000000" w:themeColor="text1"/>
                <w:kern w:val="0"/>
                <w:sz w:val="24"/>
                <w:szCs w:val="24"/>
                <w:lang w:eastAsia="zh-CN"/>
              </w:rPr>
            </w:pP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p>
        </w:tc>
        <w:tc>
          <w:tcPr>
            <w:tcW w:w="1650" w:type="dxa"/>
            <w:tcBorders>
              <w:top w:val="single" w:color="000000" w:sz="4" w:space="0"/>
              <w:left w:val="single" w:color="000000" w:sz="4" w:space="0"/>
              <w:bottom w:val="single" w:color="000000" w:sz="4" w:space="0"/>
              <w:right w:val="single" w:color="000000" w:sz="12" w:space="0"/>
            </w:tcBorders>
            <w:vAlign w:val="center"/>
          </w:tcPr>
          <w:p w14:paraId="170FC130">
            <w:pPr>
              <w:pStyle w:val="156"/>
              <w:snapToGrid w:val="0"/>
              <w:spacing w:line="240" w:lineRule="auto"/>
              <w:ind w:left="110"/>
              <w:jc w:val="center"/>
              <w:rPr>
                <w:rFonts w:eastAsiaTheme="minorEastAsia"/>
                <w:color w:val="000000" w:themeColor="text1"/>
                <w:lang w:eastAsia="en-US"/>
              </w:rPr>
            </w:pPr>
            <w:r>
              <w:rPr>
                <w:rFonts w:hint="eastAsia" w:eastAsiaTheme="minorEastAsia"/>
                <w:color w:val="000000" w:themeColor="text1"/>
                <w:lang w:eastAsia="en-US"/>
              </w:rPr>
              <w:t>105</w:t>
            </w:r>
          </w:p>
        </w:tc>
      </w:tr>
      <w:tr w14:paraId="5DA9BD49">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12" w:space="0"/>
              <w:right w:val="single" w:color="000000" w:sz="4" w:space="0"/>
            </w:tcBorders>
            <w:vAlign w:val="center"/>
          </w:tcPr>
          <w:p w14:paraId="604AB3C4">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3</w:t>
            </w:r>
          </w:p>
        </w:tc>
        <w:tc>
          <w:tcPr>
            <w:tcW w:w="3071" w:type="dxa"/>
            <w:tcBorders>
              <w:top w:val="single" w:color="000000" w:sz="4" w:space="0"/>
              <w:left w:val="single" w:color="000000" w:sz="4" w:space="0"/>
              <w:bottom w:val="single" w:color="000000" w:sz="12" w:space="0"/>
              <w:right w:val="single" w:color="000000" w:sz="4" w:space="0"/>
            </w:tcBorders>
            <w:vAlign w:val="center"/>
          </w:tcPr>
          <w:p w14:paraId="7F2D3283">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石笼挡墙体积</w:t>
            </w:r>
          </w:p>
        </w:tc>
        <w:tc>
          <w:tcPr>
            <w:tcW w:w="2862" w:type="dxa"/>
            <w:tcBorders>
              <w:top w:val="single" w:color="000000" w:sz="4" w:space="0"/>
              <w:left w:val="single" w:color="000000" w:sz="4" w:space="0"/>
              <w:bottom w:val="single" w:color="000000" w:sz="12" w:space="0"/>
              <w:right w:val="single" w:color="000000" w:sz="4" w:space="0"/>
            </w:tcBorders>
            <w:vAlign w:val="center"/>
          </w:tcPr>
          <w:p w14:paraId="12897101">
            <w:pPr>
              <w:snapToGrid w:val="0"/>
              <w:spacing w:line="240" w:lineRule="auto"/>
              <w:jc w:val="center"/>
              <w:rPr>
                <w:rFonts w:hint="eastAsia" w:ascii="Times New Roman" w:hAnsi="Times New Roman" w:cs="Times New Roman" w:eastAsiaTheme="minorEastAsia"/>
                <w:color w:val="000000" w:themeColor="text1"/>
                <w:kern w:val="0"/>
                <w:sz w:val="24"/>
                <w:szCs w:val="24"/>
                <w:lang w:eastAsia="zh-CN"/>
              </w:rPr>
            </w:pP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p>
        </w:tc>
        <w:tc>
          <w:tcPr>
            <w:tcW w:w="1650" w:type="dxa"/>
            <w:tcBorders>
              <w:top w:val="single" w:color="000000" w:sz="4" w:space="0"/>
              <w:left w:val="single" w:color="000000" w:sz="4" w:space="0"/>
              <w:bottom w:val="single" w:color="000000" w:sz="12" w:space="0"/>
              <w:right w:val="single" w:color="000000" w:sz="12" w:space="0"/>
            </w:tcBorders>
            <w:vAlign w:val="center"/>
          </w:tcPr>
          <w:p w14:paraId="017F9C66">
            <w:pPr>
              <w:pStyle w:val="156"/>
              <w:snapToGrid w:val="0"/>
              <w:spacing w:line="240" w:lineRule="auto"/>
              <w:ind w:left="110"/>
              <w:jc w:val="center"/>
              <w:rPr>
                <w:rFonts w:eastAsiaTheme="minorEastAsia"/>
                <w:color w:val="000000" w:themeColor="text1"/>
                <w:lang w:eastAsia="en-US"/>
              </w:rPr>
            </w:pPr>
            <w:r>
              <w:rPr>
                <w:rFonts w:hint="eastAsia" w:eastAsiaTheme="minorEastAsia"/>
                <w:color w:val="000000" w:themeColor="text1"/>
                <w:lang w:eastAsia="en-US"/>
              </w:rPr>
              <w:t>455</w:t>
            </w:r>
          </w:p>
        </w:tc>
      </w:tr>
    </w:tbl>
    <w:p w14:paraId="4171D69A">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（三）相关协同措施</w:t>
      </w:r>
    </w:p>
    <w:p w14:paraId="0D46351F">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1、矿山地质灾害预防措施</w:t>
      </w:r>
    </w:p>
    <w:p w14:paraId="0F8F0EBC">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地质灾害的防治本着“预防为主，避让与防治相结合的原则”，掌握时机，把灾害的损失减少到最低水平，保证拟建工程的安全。根据“矿山地质灾害现状评估与预测评估的结果”，在工程建设施工过程中必须加强地质环境保护，尽量减少人类工程对地质环境的不利影响，避免和减少会引发矿山地质灾害的行为，尽可能避免引发或加剧地质灾害。</w:t>
      </w:r>
    </w:p>
    <w:p w14:paraId="18D36F25">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2、含水层保护措施</w:t>
      </w:r>
    </w:p>
    <w:p w14:paraId="41F2483E">
      <w:pPr>
        <w:pStyle w:val="178"/>
        <w:topLinePunct/>
        <w:rPr>
          <w:rFonts w:ascii="Times New Roman" w:hAnsi="Times New Roman" w:cs="Times New Roman"/>
          <w:color w:val="000000" w:themeColor="text1"/>
        </w:rPr>
      </w:pPr>
      <w:r>
        <w:rPr>
          <w:rFonts w:ascii="Times New Roman" w:hAnsi="Times New Roman" w:cs="Times New Roman"/>
          <w:color w:val="000000" w:themeColor="text1"/>
        </w:rPr>
        <w:t>含水层防治主要是强调含水层的自我修复能力。本矿山属于续建矿山，本次延续之前未进行开采，开采后，开采规模较小，主要矿山开采对地下含水层的影响程度较轻，采矿结束后能实现自我修复，主要的预防措施为：</w:t>
      </w:r>
    </w:p>
    <w:p w14:paraId="6E8B5EC6">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（1）矿产开采过程中严格按照开发利用方案执行，最大程度减轻对周围岩体的扰动，从而减轻地下水渗漏。</w:t>
      </w:r>
    </w:p>
    <w:p w14:paraId="2ADFD0DE">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（2）矿山建设过程中尽量减少对周边地质环境和植被的破坏，应对破坏的环境跟踪治理、及时恢复，栽种各种树木。</w:t>
      </w:r>
    </w:p>
    <w:p w14:paraId="02973079">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3、地下水污染保护措施</w:t>
      </w:r>
    </w:p>
    <w:p w14:paraId="76004E2E">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地下水污染防治措施与对策应符合《中华人民共和国水污染防治法》和《中华人民共和国环境影响评价法》的相关规定，按照“源头控制、分区防控、污染监控、应急响应”。</w:t>
      </w:r>
    </w:p>
    <w:p w14:paraId="52F764E6">
      <w:pPr>
        <w:pStyle w:val="178"/>
        <w:topLinePunct/>
        <w:rPr>
          <w:rFonts w:ascii="Times New Roman" w:hAnsi="Times New Roman" w:cs="Times New Roman"/>
          <w:color w:val="000000" w:themeColor="text1"/>
        </w:rPr>
      </w:pPr>
      <w:r>
        <w:rPr>
          <w:rFonts w:ascii="Times New Roman" w:hAnsi="Times New Roman" w:cs="Times New Roman"/>
          <w:color w:val="000000" w:themeColor="text1"/>
        </w:rPr>
        <w:t>（1）露天采场的防治措施</w:t>
      </w:r>
    </w:p>
    <w:p w14:paraId="1C5BE5C6">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本矿山开采深度较浅，不存在地下水污染问题。</w:t>
      </w:r>
    </w:p>
    <w:p w14:paraId="4A0C01DF">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（2）生活污水</w:t>
      </w:r>
    </w:p>
    <w:p w14:paraId="47D3EAEF">
      <w:pPr>
        <w:pStyle w:val="178"/>
        <w:topLinePunct/>
        <w:rPr>
          <w:rFonts w:ascii="Times New Roman" w:hAnsi="Times New Roman" w:cs="Times New Roman"/>
          <w:color w:val="000000" w:themeColor="text1"/>
        </w:rPr>
      </w:pPr>
      <w:r>
        <w:rPr>
          <w:rFonts w:ascii="Times New Roman" w:hAnsi="Times New Roman" w:cs="Times New Roman"/>
          <w:color w:val="000000" w:themeColor="text1"/>
        </w:rPr>
        <w:t xml:space="preserve">生活污水经处理后排放，故对居民生活用水影响可以忽略不计。 </w:t>
      </w:r>
    </w:p>
    <w:p w14:paraId="0E176036">
      <w:pPr>
        <w:pStyle w:val="178"/>
        <w:topLinePunct/>
        <w:rPr>
          <w:rFonts w:ascii="Times New Roman" w:hAnsi="Times New Roman" w:cs="Times New Roman"/>
          <w:color w:val="000000" w:themeColor="text1"/>
        </w:rPr>
      </w:pPr>
      <w:r>
        <w:rPr>
          <w:rFonts w:ascii="Times New Roman" w:hAnsi="Times New Roman" w:cs="Times New Roman"/>
          <w:color w:val="000000" w:themeColor="text1"/>
        </w:rPr>
        <w:t>4、地形地貌景观保护措施</w:t>
      </w:r>
    </w:p>
    <w:p w14:paraId="049272E8">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矿山为续建矿山，矿山远离重要的交通干线，矿山开采结束后，及时对露天采场进行覆土并栽植绿色植物，恢复地貌景观。</w:t>
      </w:r>
    </w:p>
    <w:p w14:paraId="1F537E95">
      <w:pPr>
        <w:pStyle w:val="174"/>
        <w:topLinePunct/>
        <w:rPr>
          <w:rFonts w:ascii="Times New Roman" w:hAnsi="Times New Roman" w:cs="Times New Roman"/>
          <w:color w:val="000000" w:themeColor="text1"/>
        </w:rPr>
      </w:pPr>
      <w:bookmarkStart w:id="31" w:name="_Toc7335"/>
      <w:r>
        <w:rPr>
          <w:rFonts w:ascii="Times New Roman" w:hAnsi="Times New Roman" w:cs="Times New Roman"/>
          <w:color w:val="000000" w:themeColor="text1"/>
        </w:rPr>
        <w:t>二、修复措施</w:t>
      </w:r>
      <w:bookmarkEnd w:id="31"/>
    </w:p>
    <w:p w14:paraId="27F94019">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在生态修复调查诊断分析的基础上，以消除或降低地质灾害隐患和地形地貌景观、提高土地资源利用率为重点，治理破坏区，恢复土地使用功能。开展矿山生态修复综合治理。最大限度的保护当地自然环境，在生产期边开采边修复，发现问题及时解决。闭矿后，对开采破坏全部区域进行治理。</w:t>
      </w:r>
    </w:p>
    <w:p w14:paraId="46EAC103">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（一）地貌重塑</w:t>
      </w:r>
    </w:p>
    <w:p w14:paraId="2678CA1E">
      <w:pPr>
        <w:pStyle w:val="178"/>
        <w:topLinePunct/>
        <w:rPr>
          <w:rFonts w:ascii="Times New Roman" w:hAnsi="Times New Roman" w:cs="Times New Roman"/>
          <w:color w:val="000000" w:themeColor="text1"/>
        </w:rPr>
      </w:pPr>
      <w:r>
        <w:rPr>
          <w:rFonts w:ascii="Times New Roman" w:hAnsi="Times New Roman" w:cs="Times New Roman"/>
          <w:color w:val="000000" w:themeColor="text1"/>
        </w:rPr>
        <w:t>1、露天采场、排土场治理工程</w:t>
      </w:r>
    </w:p>
    <w:p w14:paraId="203AB5E9">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（1）边坡修整</w:t>
      </w:r>
    </w:p>
    <w:p w14:paraId="431E4ADF">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在矿山开采过程中，应注意边坡情况，由上而下对边坡进行适当的修整，清理危石、浮石，将松散、危险地段进行处理，使边坡基本达到平整稳固状态，防止矿山终采后引发地质灾害。该项工作内容在开采过程中进行，不计入治理工作量。</w:t>
      </w:r>
    </w:p>
    <w:p w14:paraId="6059001F">
      <w:pPr>
        <w:pStyle w:val="178"/>
        <w:topLinePunct/>
        <w:rPr>
          <w:rFonts w:ascii="Times New Roman" w:hAnsi="Times New Roman" w:cs="Times New Roman"/>
          <w:color w:val="000000" w:themeColor="text1"/>
        </w:rPr>
      </w:pPr>
      <w:r>
        <w:rPr>
          <w:rFonts w:ascii="Times New Roman" w:hAnsi="Times New Roman" w:cs="Times New Roman"/>
          <w:color w:val="000000" w:themeColor="text1"/>
        </w:rPr>
        <w:t>（2）拆除石笼挡墙</w:t>
      </w:r>
    </w:p>
    <w:p w14:paraId="5763E2CB">
      <w:pPr>
        <w:pStyle w:val="178"/>
        <w:topLinePunct/>
        <w:rPr>
          <w:rFonts w:ascii="Times New Roman" w:hAnsi="Times New Roman" w:cs="Times New Roman"/>
          <w:color w:val="000000" w:themeColor="text1"/>
        </w:rPr>
      </w:pPr>
      <w:r>
        <w:rPr>
          <w:rFonts w:ascii="Times New Roman" w:hAnsi="Times New Roman" w:cs="Times New Roman"/>
          <w:color w:val="000000" w:themeColor="text1"/>
        </w:rPr>
        <w:t>闭坑前，将表土堆场表土回填复垦区，表土堆场内无表土堆放，将修建的石笼挡墙全部拆除。拆除总量为</w:t>
      </w:r>
      <w:r>
        <w:rPr>
          <w:rFonts w:hint="eastAsia" w:ascii="Times New Roman" w:hAnsi="Times New Roman" w:cs="Times New Roman"/>
          <w:color w:val="000000" w:themeColor="text1"/>
        </w:rPr>
        <w:t>455</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。拆除后的废石随地面清理平整到附近区域内。拆除后的废石运至露天采场底部，运距约0.6km。采用机械施工的方法，使用1</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挖掘机进行挖装，自卸汽车8t进行运输，推土机59kw进行平整。</w:t>
      </w:r>
    </w:p>
    <w:p w14:paraId="15C7378D">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（3）地面清理平整</w:t>
      </w:r>
    </w:p>
    <w:p w14:paraId="3712B3EB">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矿山闭坑之后，采用推土机对采掘场平台和底部合围区地面进行清理平整，削高垫低，使采坑中部略高于四周，以达到汇水目的，清理平整总面积</w:t>
      </w:r>
      <w:r>
        <w:rPr>
          <w:rFonts w:hint="eastAsia" w:ascii="Times New Roman" w:hAnsi="Times New Roman" w:cs="Times New Roman"/>
          <w:color w:val="000000" w:themeColor="text1"/>
        </w:rPr>
        <w:t>12.54</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，清理平整平均厚度为0.10m，总清理平整量为12540</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。采用74kw推土机运输的方式就近平整，运距＜50m。</w:t>
      </w:r>
    </w:p>
    <w:p w14:paraId="066CF3B1">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rPr>
        <w:t>2</w:t>
      </w:r>
      <w:r>
        <w:rPr>
          <w:rFonts w:ascii="Times New Roman" w:hAnsi="Times New Roman" w:cs="Times New Roman"/>
          <w:color w:val="000000" w:themeColor="text1"/>
        </w:rPr>
        <w:t>、本项目中地貌重塑工程量测算见表4-2。</w:t>
      </w:r>
    </w:p>
    <w:p w14:paraId="27321F39">
      <w:pPr>
        <w:pStyle w:val="182"/>
        <w:topLinePunct/>
        <w:ind w:firstLine="0" w:firstLineChars="0"/>
        <w:rPr>
          <w:rFonts w:ascii="Times New Roman" w:hAnsi="Times New Roman"/>
          <w:color w:val="000000" w:themeColor="text1"/>
        </w:rPr>
      </w:pPr>
      <w:r>
        <w:rPr>
          <w:rFonts w:ascii="Times New Roman" w:hAnsi="Times New Roman"/>
          <w:color w:val="000000" w:themeColor="text1"/>
        </w:rPr>
        <w:t>表4-2</w:t>
      </w:r>
      <w:r>
        <w:rPr>
          <w:rFonts w:ascii="Times New Roman" w:hAnsi="Times New Roman"/>
          <w:color w:val="000000" w:themeColor="text1"/>
        </w:rPr>
        <w:tab/>
      </w:r>
      <w:r>
        <w:rPr>
          <w:rFonts w:ascii="Times New Roman" w:hAnsi="Times New Roman"/>
          <w:color w:val="000000" w:themeColor="text1"/>
        </w:rPr>
        <w:t>地貌重塑工程各分区工程量统计表</w:t>
      </w:r>
    </w:p>
    <w:tbl>
      <w:tblPr>
        <w:tblStyle w:val="185"/>
        <w:tblW w:w="5005"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1" w:type="dxa"/>
          <w:left w:w="11" w:type="dxa"/>
          <w:bottom w:w="11" w:type="dxa"/>
          <w:right w:w="11" w:type="dxa"/>
        </w:tblCellMar>
      </w:tblPr>
      <w:tblGrid>
        <w:gridCol w:w="1356"/>
        <w:gridCol w:w="3416"/>
        <w:gridCol w:w="1867"/>
        <w:gridCol w:w="2190"/>
      </w:tblGrid>
      <w:tr w14:paraId="5B9C121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1355" w:type="dxa"/>
            <w:tcBorders>
              <w:tl2br w:val="nil"/>
              <w:tr2bl w:val="nil"/>
            </w:tcBorders>
          </w:tcPr>
          <w:p w14:paraId="010304A2">
            <w:pPr>
              <w:pStyle w:val="156"/>
              <w:snapToGrid w:val="0"/>
              <w:spacing w:line="240" w:lineRule="auto"/>
              <w:ind w:left="110"/>
              <w:jc w:val="center"/>
              <w:rPr>
                <w:rFonts w:eastAsiaTheme="minorEastAsia"/>
                <w:b/>
                <w:color w:val="000000" w:themeColor="text1"/>
                <w:lang w:eastAsia="en-US"/>
              </w:rPr>
            </w:pPr>
            <w:r>
              <w:rPr>
                <w:rFonts w:eastAsiaTheme="minorEastAsia"/>
                <w:b/>
                <w:color w:val="000000" w:themeColor="text1"/>
                <w:lang w:eastAsia="en-US"/>
              </w:rPr>
              <w:t>序号</w:t>
            </w:r>
          </w:p>
        </w:tc>
        <w:tc>
          <w:tcPr>
            <w:tcW w:w="3413" w:type="dxa"/>
            <w:tcBorders>
              <w:tl2br w:val="nil"/>
              <w:tr2bl w:val="nil"/>
            </w:tcBorders>
          </w:tcPr>
          <w:p w14:paraId="6660F5A9">
            <w:pPr>
              <w:pStyle w:val="156"/>
              <w:snapToGrid w:val="0"/>
              <w:spacing w:line="240" w:lineRule="auto"/>
              <w:ind w:left="110" w:right="1"/>
              <w:jc w:val="center"/>
              <w:rPr>
                <w:rFonts w:eastAsiaTheme="minorEastAsia"/>
                <w:b/>
                <w:color w:val="000000" w:themeColor="text1"/>
                <w:lang w:eastAsia="en-US"/>
              </w:rPr>
            </w:pPr>
            <w:r>
              <w:rPr>
                <w:rFonts w:eastAsiaTheme="minorEastAsia"/>
                <w:b/>
                <w:color w:val="000000" w:themeColor="text1"/>
                <w:lang w:eastAsia="en-US"/>
              </w:rPr>
              <w:t>工程名称</w:t>
            </w:r>
          </w:p>
        </w:tc>
        <w:tc>
          <w:tcPr>
            <w:tcW w:w="1865" w:type="dxa"/>
            <w:tcBorders>
              <w:tl2br w:val="nil"/>
              <w:tr2bl w:val="nil"/>
            </w:tcBorders>
          </w:tcPr>
          <w:p w14:paraId="20682257">
            <w:pPr>
              <w:pStyle w:val="156"/>
              <w:snapToGrid w:val="0"/>
              <w:spacing w:line="240" w:lineRule="auto"/>
              <w:ind w:left="110"/>
              <w:jc w:val="center"/>
              <w:rPr>
                <w:rFonts w:eastAsiaTheme="minorEastAsia"/>
                <w:b/>
                <w:color w:val="000000" w:themeColor="text1"/>
                <w:lang w:eastAsia="en-US"/>
              </w:rPr>
            </w:pPr>
            <w:r>
              <w:rPr>
                <w:rFonts w:eastAsiaTheme="minorEastAsia"/>
                <w:b/>
                <w:color w:val="000000" w:themeColor="text1"/>
                <w:lang w:eastAsia="en-US"/>
              </w:rPr>
              <w:t>计算单位</w:t>
            </w:r>
          </w:p>
        </w:tc>
        <w:tc>
          <w:tcPr>
            <w:tcW w:w="2188" w:type="dxa"/>
            <w:tcBorders>
              <w:tl2br w:val="nil"/>
              <w:tr2bl w:val="nil"/>
            </w:tcBorders>
          </w:tcPr>
          <w:p w14:paraId="2466F9FF">
            <w:pPr>
              <w:pStyle w:val="156"/>
              <w:snapToGrid w:val="0"/>
              <w:spacing w:line="240" w:lineRule="auto"/>
              <w:ind w:left="110"/>
              <w:jc w:val="center"/>
              <w:rPr>
                <w:rFonts w:eastAsiaTheme="minorEastAsia"/>
                <w:b/>
                <w:color w:val="000000" w:themeColor="text1"/>
                <w:lang w:eastAsia="en-US"/>
              </w:rPr>
            </w:pPr>
            <w:r>
              <w:rPr>
                <w:rFonts w:eastAsiaTheme="minorEastAsia"/>
                <w:b/>
                <w:color w:val="000000" w:themeColor="text1"/>
                <w:lang w:eastAsia="en-US"/>
              </w:rPr>
              <w:t>工程量</w:t>
            </w:r>
          </w:p>
        </w:tc>
      </w:tr>
      <w:tr w14:paraId="3077A3E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1355" w:type="dxa"/>
            <w:tcBorders>
              <w:tl2br w:val="nil"/>
              <w:tr2bl w:val="nil"/>
            </w:tcBorders>
          </w:tcPr>
          <w:p w14:paraId="600B2076">
            <w:pPr>
              <w:pStyle w:val="156"/>
              <w:snapToGrid w:val="0"/>
              <w:spacing w:line="240" w:lineRule="auto"/>
              <w:ind w:left="110"/>
              <w:jc w:val="center"/>
              <w:rPr>
                <w:rFonts w:eastAsiaTheme="minorEastAsia"/>
                <w:color w:val="000000" w:themeColor="text1"/>
                <w:lang w:eastAsia="en-US"/>
              </w:rPr>
            </w:pPr>
          </w:p>
        </w:tc>
        <w:tc>
          <w:tcPr>
            <w:tcW w:w="3413" w:type="dxa"/>
            <w:tcBorders>
              <w:tl2br w:val="nil"/>
              <w:tr2bl w:val="nil"/>
            </w:tcBorders>
          </w:tcPr>
          <w:p w14:paraId="681B73D6">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地貌重塑工程</w:t>
            </w:r>
          </w:p>
        </w:tc>
        <w:tc>
          <w:tcPr>
            <w:tcW w:w="1865" w:type="dxa"/>
            <w:tcBorders>
              <w:tl2br w:val="nil"/>
              <w:tr2bl w:val="nil"/>
            </w:tcBorders>
          </w:tcPr>
          <w:p w14:paraId="56906DA5">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w:t>
            </w:r>
          </w:p>
        </w:tc>
        <w:tc>
          <w:tcPr>
            <w:tcW w:w="2188" w:type="dxa"/>
            <w:tcBorders>
              <w:tl2br w:val="nil"/>
              <w:tr2bl w:val="nil"/>
            </w:tcBorders>
          </w:tcPr>
          <w:p w14:paraId="3A50DF7F">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w:t>
            </w:r>
          </w:p>
        </w:tc>
      </w:tr>
      <w:tr w14:paraId="7D0C12A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1355" w:type="dxa"/>
            <w:tcBorders>
              <w:tl2br w:val="nil"/>
              <w:tr2bl w:val="nil"/>
            </w:tcBorders>
          </w:tcPr>
          <w:p w14:paraId="47A2DF2C">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1</w:t>
            </w:r>
          </w:p>
        </w:tc>
        <w:tc>
          <w:tcPr>
            <w:tcW w:w="3413" w:type="dxa"/>
            <w:tcBorders>
              <w:tl2br w:val="nil"/>
              <w:tr2bl w:val="nil"/>
            </w:tcBorders>
          </w:tcPr>
          <w:p w14:paraId="711AFD08">
            <w:pPr>
              <w:pStyle w:val="156"/>
              <w:snapToGrid w:val="0"/>
              <w:spacing w:line="240" w:lineRule="auto"/>
              <w:ind w:left="110"/>
              <w:jc w:val="center"/>
              <w:rPr>
                <w:rFonts w:eastAsiaTheme="minorEastAsia"/>
                <w:color w:val="000000" w:themeColor="text1"/>
                <w:lang w:eastAsia="zh-CN"/>
              </w:rPr>
            </w:pPr>
            <w:r>
              <w:rPr>
                <w:rFonts w:eastAsiaTheme="minorEastAsia"/>
                <w:color w:val="000000" w:themeColor="text1"/>
                <w:lang w:eastAsia="zh-CN"/>
              </w:rPr>
              <w:t>露天采场、排土场治理工程</w:t>
            </w:r>
          </w:p>
        </w:tc>
        <w:tc>
          <w:tcPr>
            <w:tcW w:w="1865" w:type="dxa"/>
            <w:tcBorders>
              <w:tl2br w:val="nil"/>
              <w:tr2bl w:val="nil"/>
            </w:tcBorders>
          </w:tcPr>
          <w:p w14:paraId="05FC369B">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w:t>
            </w:r>
          </w:p>
        </w:tc>
        <w:tc>
          <w:tcPr>
            <w:tcW w:w="2188" w:type="dxa"/>
            <w:tcBorders>
              <w:tl2br w:val="nil"/>
              <w:tr2bl w:val="nil"/>
            </w:tcBorders>
          </w:tcPr>
          <w:p w14:paraId="660386B1">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w:t>
            </w:r>
          </w:p>
        </w:tc>
      </w:tr>
      <w:tr w14:paraId="7CB05F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1355" w:type="dxa"/>
            <w:tcBorders>
              <w:tl2br w:val="nil"/>
              <w:tr2bl w:val="nil"/>
            </w:tcBorders>
          </w:tcPr>
          <w:p w14:paraId="40EE6E89">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（1）</w:t>
            </w:r>
          </w:p>
        </w:tc>
        <w:tc>
          <w:tcPr>
            <w:tcW w:w="3413" w:type="dxa"/>
            <w:tcBorders>
              <w:tl2br w:val="nil"/>
              <w:tr2bl w:val="nil"/>
            </w:tcBorders>
          </w:tcPr>
          <w:p w14:paraId="541898A0">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拆除石笼挡墙</w:t>
            </w:r>
          </w:p>
        </w:tc>
        <w:tc>
          <w:tcPr>
            <w:tcW w:w="1865" w:type="dxa"/>
            <w:tcBorders>
              <w:tl2br w:val="nil"/>
              <w:tr2bl w:val="nil"/>
            </w:tcBorders>
          </w:tcPr>
          <w:p w14:paraId="0242A74A">
            <w:pPr>
              <w:pStyle w:val="156"/>
              <w:snapToGrid w:val="0"/>
              <w:spacing w:before="17" w:line="240" w:lineRule="auto"/>
              <w:ind w:left="110" w:right="1"/>
              <w:jc w:val="center"/>
              <w:rPr>
                <w:rFonts w:hint="eastAsia" w:eastAsiaTheme="minorEastAsia"/>
                <w:color w:val="000000" w:themeColor="text1"/>
                <w:lang w:eastAsia="zh-CN"/>
              </w:rPr>
            </w:pPr>
            <w:r>
              <w:rPr>
                <w:rFonts w:hint="eastAsia" w:eastAsiaTheme="minorEastAsia"/>
                <w:color w:val="000000" w:themeColor="text1"/>
                <w:lang w:eastAsia="zh-CN"/>
              </w:rPr>
              <w:t>m</w:t>
            </w:r>
            <w:r>
              <w:rPr>
                <w:rFonts w:hint="eastAsia" w:eastAsiaTheme="minorEastAsia"/>
                <w:strike w:val="0"/>
                <w:dstrike w:val="0"/>
                <w:color w:val="000000" w:themeColor="text1"/>
                <w:vertAlign w:val="superscript"/>
                <w:lang w:eastAsia="zh-CN"/>
              </w:rPr>
              <w:t>3</w:t>
            </w:r>
          </w:p>
        </w:tc>
        <w:tc>
          <w:tcPr>
            <w:tcW w:w="2188" w:type="dxa"/>
            <w:tcBorders>
              <w:tl2br w:val="nil"/>
              <w:tr2bl w:val="nil"/>
            </w:tcBorders>
          </w:tcPr>
          <w:p w14:paraId="7791D7D0">
            <w:pPr>
              <w:pStyle w:val="156"/>
              <w:snapToGrid w:val="0"/>
              <w:spacing w:before="14" w:line="240" w:lineRule="auto"/>
              <w:ind w:left="110"/>
              <w:jc w:val="center"/>
              <w:rPr>
                <w:rFonts w:eastAsiaTheme="minorEastAsia"/>
                <w:color w:val="000000" w:themeColor="text1"/>
                <w:lang w:eastAsia="en-US"/>
              </w:rPr>
            </w:pPr>
            <w:r>
              <w:rPr>
                <w:rFonts w:hint="eastAsia" w:eastAsiaTheme="minorEastAsia"/>
                <w:color w:val="000000" w:themeColor="text1"/>
                <w:lang w:eastAsia="en-US"/>
              </w:rPr>
              <w:t>455</w:t>
            </w:r>
          </w:p>
        </w:tc>
      </w:tr>
      <w:tr w14:paraId="33F036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1355" w:type="dxa"/>
            <w:tcBorders>
              <w:tl2br w:val="nil"/>
              <w:tr2bl w:val="nil"/>
            </w:tcBorders>
          </w:tcPr>
          <w:p w14:paraId="44FFC475">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（2）</w:t>
            </w:r>
          </w:p>
        </w:tc>
        <w:tc>
          <w:tcPr>
            <w:tcW w:w="3413" w:type="dxa"/>
            <w:tcBorders>
              <w:tl2br w:val="nil"/>
              <w:tr2bl w:val="nil"/>
            </w:tcBorders>
          </w:tcPr>
          <w:p w14:paraId="66F9598B">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运输拆除石笼</w:t>
            </w:r>
          </w:p>
        </w:tc>
        <w:tc>
          <w:tcPr>
            <w:tcW w:w="1865" w:type="dxa"/>
            <w:tcBorders>
              <w:tl2br w:val="nil"/>
              <w:tr2bl w:val="nil"/>
            </w:tcBorders>
          </w:tcPr>
          <w:p w14:paraId="1D42E1C7">
            <w:pPr>
              <w:pStyle w:val="156"/>
              <w:snapToGrid w:val="0"/>
              <w:spacing w:before="15" w:line="240" w:lineRule="auto"/>
              <w:ind w:left="110" w:right="1"/>
              <w:jc w:val="center"/>
              <w:rPr>
                <w:rFonts w:hint="eastAsia" w:eastAsiaTheme="minorEastAsia"/>
                <w:color w:val="000000" w:themeColor="text1"/>
                <w:lang w:eastAsia="zh-CN"/>
              </w:rPr>
            </w:pPr>
            <w:r>
              <w:rPr>
                <w:rFonts w:hint="eastAsia" w:eastAsiaTheme="minorEastAsia"/>
                <w:color w:val="000000" w:themeColor="text1"/>
                <w:lang w:eastAsia="zh-CN"/>
              </w:rPr>
              <w:t>m</w:t>
            </w:r>
            <w:r>
              <w:rPr>
                <w:rFonts w:hint="eastAsia" w:eastAsiaTheme="minorEastAsia"/>
                <w:strike w:val="0"/>
                <w:dstrike w:val="0"/>
                <w:color w:val="000000" w:themeColor="text1"/>
                <w:vertAlign w:val="superscript"/>
                <w:lang w:eastAsia="zh-CN"/>
              </w:rPr>
              <w:t>3</w:t>
            </w:r>
          </w:p>
        </w:tc>
        <w:tc>
          <w:tcPr>
            <w:tcW w:w="2188" w:type="dxa"/>
            <w:tcBorders>
              <w:tl2br w:val="nil"/>
              <w:tr2bl w:val="nil"/>
            </w:tcBorders>
          </w:tcPr>
          <w:p w14:paraId="1FD215A8">
            <w:pPr>
              <w:pStyle w:val="156"/>
              <w:snapToGrid w:val="0"/>
              <w:spacing w:before="14" w:line="240" w:lineRule="auto"/>
              <w:ind w:left="110"/>
              <w:jc w:val="center"/>
              <w:rPr>
                <w:rFonts w:eastAsiaTheme="minorEastAsia"/>
                <w:color w:val="000000" w:themeColor="text1"/>
                <w:lang w:eastAsia="en-US"/>
              </w:rPr>
            </w:pPr>
            <w:r>
              <w:rPr>
                <w:rFonts w:hint="eastAsia" w:eastAsiaTheme="minorEastAsia"/>
                <w:color w:val="000000" w:themeColor="text1"/>
                <w:lang w:eastAsia="en-US"/>
              </w:rPr>
              <w:t>455</w:t>
            </w:r>
          </w:p>
        </w:tc>
      </w:tr>
      <w:tr w14:paraId="5CEF7F7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1355" w:type="dxa"/>
            <w:tcBorders>
              <w:tl2br w:val="nil"/>
              <w:tr2bl w:val="nil"/>
            </w:tcBorders>
          </w:tcPr>
          <w:p w14:paraId="62C83C40">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（3）</w:t>
            </w:r>
          </w:p>
        </w:tc>
        <w:tc>
          <w:tcPr>
            <w:tcW w:w="3413" w:type="dxa"/>
            <w:tcBorders>
              <w:tl2br w:val="nil"/>
              <w:tr2bl w:val="nil"/>
            </w:tcBorders>
          </w:tcPr>
          <w:p w14:paraId="3B16F1B0">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地面清理平整</w:t>
            </w:r>
          </w:p>
        </w:tc>
        <w:tc>
          <w:tcPr>
            <w:tcW w:w="1865" w:type="dxa"/>
            <w:tcBorders>
              <w:tl2br w:val="nil"/>
              <w:tr2bl w:val="nil"/>
            </w:tcBorders>
          </w:tcPr>
          <w:p w14:paraId="05C86E10">
            <w:pPr>
              <w:pStyle w:val="156"/>
              <w:snapToGrid w:val="0"/>
              <w:spacing w:before="16" w:line="240" w:lineRule="auto"/>
              <w:ind w:left="110" w:right="1"/>
              <w:jc w:val="center"/>
              <w:rPr>
                <w:rFonts w:hint="eastAsia" w:eastAsiaTheme="minorEastAsia"/>
                <w:color w:val="000000" w:themeColor="text1"/>
                <w:lang w:eastAsia="zh-CN"/>
              </w:rPr>
            </w:pPr>
            <w:r>
              <w:rPr>
                <w:rFonts w:hint="eastAsia" w:eastAsiaTheme="minorEastAsia"/>
                <w:color w:val="000000" w:themeColor="text1"/>
                <w:lang w:eastAsia="zh-CN"/>
              </w:rPr>
              <w:t>m</w:t>
            </w:r>
            <w:r>
              <w:rPr>
                <w:rFonts w:hint="eastAsia" w:eastAsiaTheme="minorEastAsia"/>
                <w:strike w:val="0"/>
                <w:dstrike w:val="0"/>
                <w:color w:val="000000" w:themeColor="text1"/>
                <w:vertAlign w:val="superscript"/>
                <w:lang w:eastAsia="zh-CN"/>
              </w:rPr>
              <w:t>3</w:t>
            </w:r>
          </w:p>
        </w:tc>
        <w:tc>
          <w:tcPr>
            <w:tcW w:w="2188" w:type="dxa"/>
            <w:tcBorders>
              <w:tl2br w:val="nil"/>
              <w:tr2bl w:val="nil"/>
            </w:tcBorders>
          </w:tcPr>
          <w:p w14:paraId="61FCD5C9">
            <w:pPr>
              <w:pStyle w:val="156"/>
              <w:snapToGrid w:val="0"/>
              <w:spacing w:before="13" w:line="240" w:lineRule="auto"/>
              <w:ind w:left="110"/>
              <w:jc w:val="center"/>
              <w:rPr>
                <w:rFonts w:eastAsiaTheme="minorEastAsia"/>
                <w:color w:val="000000" w:themeColor="text1"/>
                <w:lang w:eastAsia="en-US"/>
              </w:rPr>
            </w:pPr>
            <w:r>
              <w:rPr>
                <w:rFonts w:hint="eastAsia" w:eastAsiaTheme="minorEastAsia"/>
                <w:color w:val="000000" w:themeColor="text1"/>
                <w:lang w:eastAsia="en-US"/>
              </w:rPr>
              <w:t>12540</w:t>
            </w:r>
          </w:p>
        </w:tc>
      </w:tr>
    </w:tbl>
    <w:p w14:paraId="4B5544AE">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（二）土壤重构</w:t>
      </w:r>
    </w:p>
    <w:p w14:paraId="3238D4DE">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1、表土回覆</w:t>
      </w:r>
    </w:p>
    <w:p w14:paraId="19594791">
      <w:pPr>
        <w:pStyle w:val="178"/>
        <w:topLinePunct/>
        <w:rPr>
          <w:rFonts w:ascii="Times New Roman" w:hAnsi="Times New Roman" w:cs="Times New Roman"/>
          <w:color w:val="E36C09" w:themeColor="accent6" w:themeShade="BF"/>
          <w:highlight w:val="none"/>
        </w:rPr>
      </w:pPr>
      <w:r>
        <w:rPr>
          <w:rFonts w:ascii="Times New Roman" w:hAnsi="Times New Roman" w:cs="Times New Roman"/>
          <w:color w:val="E36C09" w:themeColor="accent6" w:themeShade="BF"/>
          <w:highlight w:val="none"/>
        </w:rPr>
        <w:t>矿山闭坑后，对采掘场平台和底部合围区、排土场复垦为乔木林地区域进行覆土，本次复垦为乔木林地</w:t>
      </w:r>
      <w:r>
        <w:rPr>
          <w:rFonts w:hint="eastAsia" w:ascii="Times New Roman" w:hAnsi="Times New Roman" w:cs="Times New Roman"/>
          <w:color w:val="E36C09" w:themeColor="accent6" w:themeShade="BF"/>
          <w:highlight w:val="none"/>
        </w:rPr>
        <w:t>12.34</w:t>
      </w:r>
      <w:r>
        <w:rPr>
          <w:rFonts w:ascii="Times New Roman" w:hAnsi="Times New Roman" w:cs="Times New Roman"/>
          <w:color w:val="E36C09" w:themeColor="accent6" w:themeShade="BF"/>
          <w:highlight w:val="none"/>
        </w:rPr>
        <w:t>h</w:t>
      </w:r>
      <w:r>
        <w:rPr>
          <w:rFonts w:hint="eastAsia" w:ascii="Times New Roman" w:hAnsi="Times New Roman" w:cs="Times New Roman"/>
          <w:color w:val="E36C09" w:themeColor="accent6" w:themeShade="BF"/>
          <w:highlight w:val="none"/>
          <w:lang w:eastAsia="zh-CN"/>
        </w:rPr>
        <w:t>m</w:t>
      </w:r>
      <w:r>
        <w:rPr>
          <w:rFonts w:hint="eastAsia" w:ascii="Times New Roman" w:hAnsi="Times New Roman" w:cs="Times New Roman"/>
          <w:strike w:val="0"/>
          <w:dstrike w:val="0"/>
          <w:color w:val="E36C09" w:themeColor="accent6" w:themeShade="BF"/>
          <w:highlight w:val="none"/>
          <w:vertAlign w:val="superscript"/>
          <w:lang w:eastAsia="zh-CN"/>
        </w:rPr>
        <w:t>2</w:t>
      </w:r>
      <w:r>
        <w:rPr>
          <w:rFonts w:ascii="Times New Roman" w:hAnsi="Times New Roman" w:cs="Times New Roman"/>
          <w:color w:val="E36C09" w:themeColor="accent6" w:themeShade="BF"/>
          <w:highlight w:val="none"/>
        </w:rPr>
        <w:t>，由于本矿设计存储的表土较少，不能满足直接覆土恢复林地的覆土需求，本次设计采用穴植方式恢复林地，株、行距2.0m×2.0m，种植密度应为2500穴/h</w:t>
      </w:r>
      <w:r>
        <w:rPr>
          <w:rFonts w:hint="eastAsia" w:ascii="Times New Roman" w:hAnsi="Times New Roman" w:cs="Times New Roman"/>
          <w:color w:val="E36C09" w:themeColor="accent6" w:themeShade="BF"/>
          <w:highlight w:val="none"/>
          <w:lang w:eastAsia="zh-CN"/>
        </w:rPr>
        <w:t>m</w:t>
      </w:r>
      <w:r>
        <w:rPr>
          <w:rFonts w:hint="eastAsia" w:ascii="Times New Roman" w:hAnsi="Times New Roman" w:cs="Times New Roman"/>
          <w:strike w:val="0"/>
          <w:dstrike w:val="0"/>
          <w:color w:val="E36C09" w:themeColor="accent6" w:themeShade="BF"/>
          <w:highlight w:val="none"/>
          <w:vertAlign w:val="superscript"/>
          <w:lang w:eastAsia="zh-CN"/>
        </w:rPr>
        <w:t>2</w:t>
      </w:r>
      <w:r>
        <w:rPr>
          <w:rFonts w:ascii="Times New Roman" w:hAnsi="Times New Roman" w:cs="Times New Roman"/>
          <w:color w:val="E36C09" w:themeColor="accent6" w:themeShade="BF"/>
          <w:highlight w:val="none"/>
        </w:rPr>
        <w:t>左右，树穴规格（长*宽*高）为0.</w:t>
      </w:r>
      <w:r>
        <w:rPr>
          <w:rFonts w:hint="eastAsia" w:ascii="Times New Roman" w:hAnsi="Times New Roman" w:cs="Times New Roman"/>
          <w:color w:val="E36C09" w:themeColor="accent6" w:themeShade="BF"/>
          <w:highlight w:val="none"/>
        </w:rPr>
        <w:t>4</w:t>
      </w:r>
      <w:r>
        <w:rPr>
          <w:rFonts w:ascii="Times New Roman" w:hAnsi="Times New Roman" w:cs="Times New Roman"/>
          <w:color w:val="E36C09" w:themeColor="accent6" w:themeShade="BF"/>
          <w:highlight w:val="none"/>
        </w:rPr>
        <w:t>m*0.</w:t>
      </w:r>
      <w:r>
        <w:rPr>
          <w:rFonts w:hint="eastAsia" w:ascii="Times New Roman" w:hAnsi="Times New Roman" w:cs="Times New Roman"/>
          <w:color w:val="E36C09" w:themeColor="accent6" w:themeShade="BF"/>
          <w:highlight w:val="none"/>
        </w:rPr>
        <w:t>4</w:t>
      </w:r>
      <w:r>
        <w:rPr>
          <w:rFonts w:ascii="Times New Roman" w:hAnsi="Times New Roman" w:cs="Times New Roman"/>
          <w:color w:val="E36C09" w:themeColor="accent6" w:themeShade="BF"/>
          <w:highlight w:val="none"/>
        </w:rPr>
        <w:t>m*0.5m，单个树穴体积为0.</w:t>
      </w:r>
      <w:r>
        <w:rPr>
          <w:rFonts w:hint="eastAsia" w:ascii="Times New Roman" w:hAnsi="Times New Roman" w:cs="Times New Roman"/>
          <w:color w:val="E36C09" w:themeColor="accent6" w:themeShade="BF"/>
          <w:highlight w:val="none"/>
        </w:rPr>
        <w:t>08</w:t>
      </w:r>
      <w:r>
        <w:rPr>
          <w:rFonts w:hint="eastAsia" w:ascii="Times New Roman" w:hAnsi="Times New Roman" w:cs="Times New Roman"/>
          <w:color w:val="E36C09" w:themeColor="accent6" w:themeShade="BF"/>
          <w:highlight w:val="none"/>
          <w:lang w:eastAsia="zh-CN"/>
        </w:rPr>
        <w:t>m</w:t>
      </w:r>
      <w:r>
        <w:rPr>
          <w:rFonts w:hint="eastAsia" w:ascii="Times New Roman" w:hAnsi="Times New Roman" w:cs="Times New Roman"/>
          <w:strike w:val="0"/>
          <w:dstrike w:val="0"/>
          <w:color w:val="E36C09" w:themeColor="accent6" w:themeShade="BF"/>
          <w:highlight w:val="none"/>
          <w:vertAlign w:val="superscript"/>
          <w:lang w:eastAsia="zh-CN"/>
        </w:rPr>
        <w:t>3</w:t>
      </w:r>
      <w:r>
        <w:rPr>
          <w:rFonts w:ascii="Times New Roman" w:hAnsi="Times New Roman" w:cs="Times New Roman"/>
          <w:color w:val="E36C09" w:themeColor="accent6" w:themeShade="BF"/>
          <w:highlight w:val="none"/>
        </w:rPr>
        <w:t>，植树总数为</w:t>
      </w:r>
      <w:r>
        <w:rPr>
          <w:rFonts w:hint="eastAsia" w:ascii="Times New Roman" w:hAnsi="Times New Roman" w:cs="Times New Roman"/>
          <w:color w:val="E36C09" w:themeColor="accent6" w:themeShade="BF"/>
          <w:highlight w:val="none"/>
          <w:lang w:eastAsia="zh-CN"/>
        </w:rPr>
        <w:t>31350</w:t>
      </w:r>
      <w:r>
        <w:rPr>
          <w:rFonts w:ascii="Times New Roman" w:hAnsi="Times New Roman" w:cs="Times New Roman"/>
          <w:color w:val="E36C09" w:themeColor="accent6" w:themeShade="BF"/>
          <w:highlight w:val="none"/>
        </w:rPr>
        <w:t>株，土方需用量总计为0.</w:t>
      </w:r>
      <w:r>
        <w:rPr>
          <w:rFonts w:hint="eastAsia" w:ascii="Times New Roman" w:hAnsi="Times New Roman" w:cs="Times New Roman"/>
          <w:color w:val="E36C09" w:themeColor="accent6" w:themeShade="BF"/>
          <w:highlight w:val="none"/>
        </w:rPr>
        <w:t>25</w:t>
      </w:r>
      <w:r>
        <w:rPr>
          <w:rFonts w:ascii="Times New Roman" w:hAnsi="Times New Roman" w:cs="Times New Roman"/>
          <w:color w:val="E36C09" w:themeColor="accent6" w:themeShade="BF"/>
          <w:highlight w:val="none"/>
        </w:rPr>
        <w:t>万</w:t>
      </w:r>
      <w:r>
        <w:rPr>
          <w:rFonts w:hint="eastAsia" w:ascii="Times New Roman" w:hAnsi="Times New Roman" w:cs="Times New Roman"/>
          <w:color w:val="E36C09" w:themeColor="accent6" w:themeShade="BF"/>
          <w:highlight w:val="none"/>
          <w:lang w:eastAsia="zh-CN"/>
        </w:rPr>
        <w:t>m</w:t>
      </w:r>
      <w:r>
        <w:rPr>
          <w:rFonts w:hint="eastAsia" w:ascii="Times New Roman" w:hAnsi="Times New Roman" w:cs="Times New Roman"/>
          <w:strike w:val="0"/>
          <w:dstrike w:val="0"/>
          <w:color w:val="E36C09" w:themeColor="accent6" w:themeShade="BF"/>
          <w:highlight w:val="none"/>
          <w:vertAlign w:val="superscript"/>
          <w:lang w:eastAsia="zh-CN"/>
        </w:rPr>
        <w:t>3</w:t>
      </w:r>
      <w:r>
        <w:rPr>
          <w:rFonts w:ascii="Times New Roman" w:hAnsi="Times New Roman" w:cs="Times New Roman"/>
          <w:color w:val="E36C09" w:themeColor="accent6" w:themeShade="BF"/>
          <w:highlight w:val="none"/>
        </w:rPr>
        <w:t>。在开采平台四周边坡坡脚栽植常春藤，本次设计采用采用植槽填土种植，植槽宽0.</w:t>
      </w:r>
      <w:r>
        <w:rPr>
          <w:rFonts w:hint="eastAsia" w:ascii="Times New Roman" w:hAnsi="Times New Roman" w:cs="Times New Roman"/>
          <w:color w:val="E36C09" w:themeColor="accent6" w:themeShade="BF"/>
          <w:highlight w:val="none"/>
        </w:rPr>
        <w:t>3</w:t>
      </w:r>
      <w:r>
        <w:rPr>
          <w:rFonts w:ascii="Times New Roman" w:hAnsi="Times New Roman" w:cs="Times New Roman"/>
          <w:color w:val="E36C09" w:themeColor="accent6" w:themeShade="BF"/>
          <w:highlight w:val="none"/>
        </w:rPr>
        <w:t>m、高0.</w:t>
      </w:r>
      <w:r>
        <w:rPr>
          <w:rFonts w:hint="eastAsia" w:ascii="Times New Roman" w:hAnsi="Times New Roman" w:cs="Times New Roman"/>
          <w:color w:val="E36C09" w:themeColor="accent6" w:themeShade="BF"/>
          <w:highlight w:val="none"/>
        </w:rPr>
        <w:t>3</w:t>
      </w:r>
      <w:r>
        <w:rPr>
          <w:rFonts w:ascii="Times New Roman" w:hAnsi="Times New Roman" w:cs="Times New Roman"/>
          <w:color w:val="E36C09" w:themeColor="accent6" w:themeShade="BF"/>
          <w:highlight w:val="none"/>
        </w:rPr>
        <w:t>m，采掘场底部总长约</w:t>
      </w:r>
      <w:r>
        <w:rPr>
          <w:rFonts w:hint="eastAsia" w:ascii="Times New Roman" w:hAnsi="Times New Roman" w:cs="Times New Roman"/>
          <w:color w:val="E36C09" w:themeColor="accent6" w:themeShade="BF"/>
          <w:highlight w:val="none"/>
        </w:rPr>
        <w:t>2600</w:t>
      </w:r>
      <w:r>
        <w:rPr>
          <w:rFonts w:ascii="Times New Roman" w:hAnsi="Times New Roman" w:cs="Times New Roman"/>
          <w:color w:val="E36C09" w:themeColor="accent6" w:themeShade="BF"/>
          <w:highlight w:val="none"/>
        </w:rPr>
        <w:t>m，株距0.5m，共栽种</w:t>
      </w:r>
      <w:r>
        <w:rPr>
          <w:rFonts w:hint="eastAsia" w:ascii="Times New Roman" w:hAnsi="Times New Roman" w:cs="Times New Roman"/>
          <w:color w:val="E36C09" w:themeColor="accent6" w:themeShade="BF"/>
          <w:highlight w:val="none"/>
        </w:rPr>
        <w:t>5200</w:t>
      </w:r>
      <w:r>
        <w:rPr>
          <w:rFonts w:ascii="Times New Roman" w:hAnsi="Times New Roman" w:cs="Times New Roman"/>
          <w:color w:val="E36C09" w:themeColor="accent6" w:themeShade="BF"/>
          <w:highlight w:val="none"/>
        </w:rPr>
        <w:t>株，土方需用量总计为</w:t>
      </w:r>
      <w:r>
        <w:rPr>
          <w:rFonts w:hint="eastAsia" w:ascii="Times New Roman" w:hAnsi="Times New Roman" w:cs="Times New Roman"/>
          <w:color w:val="E36C09" w:themeColor="accent6" w:themeShade="BF"/>
          <w:highlight w:val="none"/>
        </w:rPr>
        <w:t>0.02</w:t>
      </w:r>
      <w:r>
        <w:rPr>
          <w:rFonts w:ascii="Times New Roman" w:hAnsi="Times New Roman" w:cs="Times New Roman"/>
          <w:color w:val="E36C09" w:themeColor="accent6" w:themeShade="BF"/>
          <w:highlight w:val="none"/>
        </w:rPr>
        <w:t>万</w:t>
      </w:r>
      <w:r>
        <w:rPr>
          <w:rFonts w:hint="eastAsia" w:ascii="Times New Roman" w:hAnsi="Times New Roman" w:cs="Times New Roman"/>
          <w:color w:val="E36C09" w:themeColor="accent6" w:themeShade="BF"/>
          <w:highlight w:val="none"/>
          <w:lang w:eastAsia="zh-CN"/>
        </w:rPr>
        <w:t>m</w:t>
      </w:r>
      <w:r>
        <w:rPr>
          <w:rFonts w:hint="eastAsia" w:ascii="Times New Roman" w:hAnsi="Times New Roman" w:cs="Times New Roman"/>
          <w:strike w:val="0"/>
          <w:dstrike w:val="0"/>
          <w:color w:val="E36C09" w:themeColor="accent6" w:themeShade="BF"/>
          <w:highlight w:val="none"/>
          <w:vertAlign w:val="superscript"/>
          <w:lang w:eastAsia="zh-CN"/>
        </w:rPr>
        <w:t>3</w:t>
      </w:r>
      <w:r>
        <w:rPr>
          <w:rFonts w:ascii="Times New Roman" w:hAnsi="Times New Roman" w:cs="Times New Roman"/>
          <w:color w:val="E36C09" w:themeColor="accent6" w:themeShade="BF"/>
          <w:highlight w:val="none"/>
        </w:rPr>
        <w:t>。矿山复垦表土覆盖总量为</w:t>
      </w:r>
      <w:r>
        <w:rPr>
          <w:rFonts w:hint="eastAsia" w:ascii="Times New Roman" w:hAnsi="Times New Roman" w:cs="Times New Roman"/>
          <w:color w:val="E36C09" w:themeColor="accent6" w:themeShade="BF"/>
          <w:highlight w:val="none"/>
        </w:rPr>
        <w:t>0.27</w:t>
      </w:r>
      <w:r>
        <w:rPr>
          <w:rFonts w:ascii="Times New Roman" w:hAnsi="Times New Roman" w:cs="Times New Roman"/>
          <w:color w:val="E36C09" w:themeColor="accent6" w:themeShade="BF"/>
          <w:highlight w:val="none"/>
        </w:rPr>
        <w:t>万</w:t>
      </w:r>
      <w:r>
        <w:rPr>
          <w:rFonts w:hint="eastAsia" w:ascii="Times New Roman" w:hAnsi="Times New Roman" w:cs="Times New Roman"/>
          <w:color w:val="E36C09" w:themeColor="accent6" w:themeShade="BF"/>
          <w:highlight w:val="none"/>
          <w:lang w:eastAsia="zh-CN"/>
        </w:rPr>
        <w:t>m</w:t>
      </w:r>
      <w:r>
        <w:rPr>
          <w:rFonts w:hint="eastAsia" w:ascii="Times New Roman" w:hAnsi="Times New Roman" w:cs="Times New Roman"/>
          <w:strike w:val="0"/>
          <w:dstrike w:val="0"/>
          <w:color w:val="E36C09" w:themeColor="accent6" w:themeShade="BF"/>
          <w:highlight w:val="none"/>
          <w:vertAlign w:val="superscript"/>
          <w:lang w:eastAsia="zh-CN"/>
        </w:rPr>
        <w:t>3</w:t>
      </w:r>
      <w:r>
        <w:rPr>
          <w:rFonts w:ascii="Times New Roman" w:hAnsi="Times New Roman" w:cs="Times New Roman"/>
          <w:color w:val="E36C09" w:themeColor="accent6" w:themeShade="BF"/>
          <w:highlight w:val="none"/>
        </w:rPr>
        <w:t>。</w:t>
      </w:r>
    </w:p>
    <w:p w14:paraId="229F2D4E">
      <w:pPr>
        <w:pStyle w:val="178"/>
        <w:topLinePunct/>
        <w:rPr>
          <w:rFonts w:ascii="Times New Roman" w:hAnsi="Times New Roman" w:cs="Times New Roman"/>
          <w:color w:val="000000" w:themeColor="text1"/>
          <w:highlight w:val="none"/>
        </w:rPr>
      </w:pPr>
      <w:r>
        <w:rPr>
          <w:rFonts w:ascii="Times New Roman" w:hAnsi="Times New Roman" w:cs="Times New Roman"/>
          <w:color w:val="000000" w:themeColor="text1"/>
          <w:highlight w:val="none"/>
        </w:rPr>
        <w:t>综上，矿山</w:t>
      </w:r>
      <w:r>
        <w:rPr>
          <w:rFonts w:hint="eastAsia" w:ascii="Times New Roman" w:hAnsi="Times New Roman" w:cs="Times New Roman"/>
          <w:color w:val="000000" w:themeColor="text1"/>
          <w:highlight w:val="none"/>
        </w:rPr>
        <w:t>剥离存储表土量为0.27</w:t>
      </w:r>
      <w:r>
        <w:rPr>
          <w:rFonts w:ascii="Times New Roman" w:hAnsi="Times New Roman" w:cs="Times New Roman"/>
          <w:color w:val="000000" w:themeColor="text1"/>
          <w:highlight w:val="none"/>
        </w:rPr>
        <w:t>万</w:t>
      </w:r>
      <w:r>
        <w:rPr>
          <w:rFonts w:hint="eastAsia" w:ascii="Times New Roman" w:hAnsi="Times New Roman" w:cs="Times New Roman"/>
          <w:color w:val="000000" w:themeColor="text1"/>
          <w:highlight w:val="none"/>
          <w:lang w:eastAsia="zh-CN"/>
        </w:rPr>
        <w:t>m</w:t>
      </w:r>
      <w:r>
        <w:rPr>
          <w:rFonts w:hint="eastAsia" w:ascii="Times New Roman" w:hAnsi="Times New Roman" w:cs="Times New Roman"/>
          <w:strike w:val="0"/>
          <w:dstrike w:val="0"/>
          <w:color w:val="000000" w:themeColor="text1"/>
          <w:highlight w:val="none"/>
          <w:vertAlign w:val="superscript"/>
          <w:lang w:eastAsia="zh-CN"/>
        </w:rPr>
        <w:t>3</w:t>
      </w:r>
      <w:r>
        <w:rPr>
          <w:rFonts w:ascii="Times New Roman" w:hAnsi="Times New Roman" w:cs="Times New Roman"/>
          <w:color w:val="000000" w:themeColor="text1"/>
          <w:highlight w:val="none"/>
        </w:rPr>
        <w:t>，矿山复垦表土覆盖总量为</w:t>
      </w:r>
      <w:r>
        <w:rPr>
          <w:rFonts w:hint="eastAsia" w:ascii="Times New Roman" w:hAnsi="Times New Roman" w:cs="Times New Roman"/>
          <w:color w:val="000000" w:themeColor="text1"/>
          <w:highlight w:val="none"/>
        </w:rPr>
        <w:t>0.27</w:t>
      </w:r>
      <w:r>
        <w:rPr>
          <w:rFonts w:ascii="Times New Roman" w:hAnsi="Times New Roman" w:cs="Times New Roman"/>
          <w:color w:val="000000" w:themeColor="text1"/>
          <w:highlight w:val="none"/>
        </w:rPr>
        <w:t>万</w:t>
      </w:r>
      <w:r>
        <w:rPr>
          <w:rFonts w:hint="eastAsia" w:ascii="Times New Roman" w:hAnsi="Times New Roman" w:cs="Times New Roman"/>
          <w:color w:val="000000" w:themeColor="text1"/>
          <w:highlight w:val="none"/>
          <w:lang w:eastAsia="zh-CN"/>
        </w:rPr>
        <w:t>m</w:t>
      </w:r>
      <w:r>
        <w:rPr>
          <w:rFonts w:hint="eastAsia" w:ascii="Times New Roman" w:hAnsi="Times New Roman" w:cs="Times New Roman"/>
          <w:strike w:val="0"/>
          <w:dstrike w:val="0"/>
          <w:color w:val="000000" w:themeColor="text1"/>
          <w:highlight w:val="none"/>
          <w:vertAlign w:val="superscript"/>
          <w:lang w:eastAsia="zh-CN"/>
        </w:rPr>
        <w:t>3</w:t>
      </w:r>
      <w:r>
        <w:rPr>
          <w:rFonts w:ascii="Times New Roman" w:hAnsi="Times New Roman" w:cs="Times New Roman"/>
          <w:color w:val="000000" w:themeColor="text1"/>
          <w:highlight w:val="none"/>
        </w:rPr>
        <w:t>，</w:t>
      </w:r>
      <w:r>
        <w:rPr>
          <w:rFonts w:hint="eastAsia" w:ascii="Times New Roman" w:hAnsi="Times New Roman" w:cs="Times New Roman"/>
          <w:color w:val="000000" w:themeColor="text1"/>
          <w:highlight w:val="none"/>
        </w:rPr>
        <w:t>满足林地复垦需求</w:t>
      </w:r>
      <w:r>
        <w:rPr>
          <w:rFonts w:ascii="Times New Roman" w:hAnsi="Times New Roman" w:cs="Times New Roman"/>
          <w:color w:val="000000" w:themeColor="text1"/>
          <w:highlight w:val="none"/>
        </w:rPr>
        <w:t>。</w:t>
      </w:r>
    </w:p>
    <w:p w14:paraId="4E6687D8">
      <w:pPr>
        <w:pStyle w:val="178"/>
        <w:topLinePunct/>
        <w:rPr>
          <w:rFonts w:ascii="Times New Roman" w:hAnsi="Times New Roman" w:cs="Times New Roman"/>
          <w:color w:val="000000" w:themeColor="text1"/>
        </w:rPr>
      </w:pPr>
      <w:r>
        <w:rPr>
          <w:rFonts w:ascii="Times New Roman" w:hAnsi="Times New Roman" w:cs="Times New Roman"/>
          <w:color w:val="000000" w:themeColor="text1"/>
        </w:rPr>
        <w:t>2、主要工程量</w:t>
      </w:r>
    </w:p>
    <w:p w14:paraId="7411B69A">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土壤重构工程设计工程量测算见表4-3。</w:t>
      </w:r>
    </w:p>
    <w:p w14:paraId="35BAA968">
      <w:pPr>
        <w:pStyle w:val="182"/>
        <w:topLinePunct/>
        <w:ind w:firstLine="0" w:firstLineChars="0"/>
        <w:rPr>
          <w:rFonts w:ascii="Times New Roman" w:hAnsi="Times New Roman"/>
          <w:color w:val="000000" w:themeColor="text1"/>
        </w:rPr>
      </w:pPr>
      <w:r>
        <w:rPr>
          <w:rFonts w:ascii="Times New Roman" w:hAnsi="Times New Roman"/>
          <w:color w:val="000000" w:themeColor="text1"/>
        </w:rPr>
        <w:t>表4-3</w:t>
      </w:r>
      <w:r>
        <w:rPr>
          <w:rFonts w:ascii="Times New Roman" w:hAnsi="Times New Roman"/>
          <w:color w:val="000000" w:themeColor="text1"/>
        </w:rPr>
        <w:tab/>
      </w:r>
      <w:r>
        <w:rPr>
          <w:rFonts w:ascii="Times New Roman" w:hAnsi="Times New Roman"/>
          <w:color w:val="000000" w:themeColor="text1"/>
        </w:rPr>
        <w:t>土壤重构工程设计工程量测算各分区统计表</w:t>
      </w:r>
    </w:p>
    <w:tbl>
      <w:tblPr>
        <w:tblStyle w:val="185"/>
        <w:tblW w:w="5009"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1416"/>
        <w:gridCol w:w="3359"/>
        <w:gridCol w:w="2053"/>
        <w:gridCol w:w="2008"/>
      </w:tblGrid>
      <w:tr w14:paraId="45466CB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415" w:type="dxa"/>
            <w:vAlign w:val="center"/>
          </w:tcPr>
          <w:p w14:paraId="7FFDEE74">
            <w:pPr>
              <w:pStyle w:val="156"/>
              <w:snapToGrid w:val="0"/>
              <w:spacing w:line="240" w:lineRule="auto"/>
              <w:ind w:left="110"/>
              <w:jc w:val="center"/>
              <w:rPr>
                <w:rFonts w:eastAsiaTheme="minorEastAsia"/>
                <w:b/>
                <w:color w:val="000000" w:themeColor="text1"/>
                <w:lang w:eastAsia="en-US"/>
              </w:rPr>
            </w:pPr>
            <w:r>
              <w:rPr>
                <w:rFonts w:eastAsiaTheme="minorEastAsia"/>
                <w:b/>
                <w:color w:val="000000" w:themeColor="text1"/>
                <w:lang w:eastAsia="en-US"/>
              </w:rPr>
              <w:t>序号</w:t>
            </w:r>
          </w:p>
        </w:tc>
        <w:tc>
          <w:tcPr>
            <w:tcW w:w="3356" w:type="dxa"/>
            <w:vAlign w:val="center"/>
          </w:tcPr>
          <w:p w14:paraId="4B80CBBD">
            <w:pPr>
              <w:pStyle w:val="156"/>
              <w:snapToGrid w:val="0"/>
              <w:spacing w:line="240" w:lineRule="auto"/>
              <w:ind w:left="110"/>
              <w:jc w:val="center"/>
              <w:rPr>
                <w:rFonts w:eastAsiaTheme="minorEastAsia"/>
                <w:b/>
                <w:color w:val="000000" w:themeColor="text1"/>
                <w:lang w:eastAsia="en-US"/>
              </w:rPr>
            </w:pPr>
            <w:r>
              <w:rPr>
                <w:rFonts w:eastAsiaTheme="minorEastAsia"/>
                <w:b/>
                <w:color w:val="000000" w:themeColor="text1"/>
                <w:lang w:eastAsia="en-US"/>
              </w:rPr>
              <w:t>工程名称</w:t>
            </w:r>
          </w:p>
        </w:tc>
        <w:tc>
          <w:tcPr>
            <w:tcW w:w="2051" w:type="dxa"/>
            <w:vAlign w:val="center"/>
          </w:tcPr>
          <w:p w14:paraId="4A3BE543">
            <w:pPr>
              <w:pStyle w:val="156"/>
              <w:snapToGrid w:val="0"/>
              <w:spacing w:line="240" w:lineRule="auto"/>
              <w:ind w:left="110"/>
              <w:jc w:val="center"/>
              <w:rPr>
                <w:rFonts w:eastAsiaTheme="minorEastAsia"/>
                <w:b/>
                <w:color w:val="000000" w:themeColor="text1"/>
                <w:lang w:eastAsia="en-US"/>
              </w:rPr>
            </w:pPr>
            <w:r>
              <w:rPr>
                <w:rFonts w:eastAsiaTheme="minorEastAsia"/>
                <w:b/>
                <w:color w:val="000000" w:themeColor="text1"/>
                <w:lang w:eastAsia="en-US"/>
              </w:rPr>
              <w:t>计算单位</w:t>
            </w:r>
          </w:p>
        </w:tc>
        <w:tc>
          <w:tcPr>
            <w:tcW w:w="2006" w:type="dxa"/>
            <w:vAlign w:val="center"/>
          </w:tcPr>
          <w:p w14:paraId="1A69D30D">
            <w:pPr>
              <w:pStyle w:val="156"/>
              <w:snapToGrid w:val="0"/>
              <w:spacing w:line="240" w:lineRule="auto"/>
              <w:ind w:left="110"/>
              <w:jc w:val="center"/>
              <w:rPr>
                <w:rFonts w:eastAsiaTheme="minorEastAsia"/>
                <w:b/>
                <w:color w:val="000000" w:themeColor="text1"/>
                <w:lang w:eastAsia="en-US"/>
              </w:rPr>
            </w:pPr>
            <w:r>
              <w:rPr>
                <w:rFonts w:eastAsiaTheme="minorEastAsia"/>
                <w:b/>
                <w:color w:val="000000" w:themeColor="text1"/>
                <w:lang w:eastAsia="en-US"/>
              </w:rPr>
              <w:t>工程量</w:t>
            </w:r>
          </w:p>
        </w:tc>
      </w:tr>
      <w:tr w14:paraId="777383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415" w:type="dxa"/>
            <w:vAlign w:val="center"/>
          </w:tcPr>
          <w:p w14:paraId="543F4496">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（一）</w:t>
            </w:r>
          </w:p>
        </w:tc>
        <w:tc>
          <w:tcPr>
            <w:tcW w:w="3356" w:type="dxa"/>
            <w:vAlign w:val="center"/>
          </w:tcPr>
          <w:p w14:paraId="56EFE4D0">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土壤重构工程</w:t>
            </w:r>
          </w:p>
        </w:tc>
        <w:tc>
          <w:tcPr>
            <w:tcW w:w="2051" w:type="dxa"/>
            <w:vAlign w:val="center"/>
          </w:tcPr>
          <w:p w14:paraId="29165BF1">
            <w:pPr>
              <w:pStyle w:val="156"/>
              <w:snapToGrid w:val="0"/>
              <w:spacing w:before="46" w:line="240" w:lineRule="auto"/>
              <w:ind w:left="110"/>
              <w:jc w:val="center"/>
              <w:rPr>
                <w:rFonts w:eastAsiaTheme="minorEastAsia"/>
                <w:color w:val="000000" w:themeColor="text1"/>
                <w:lang w:eastAsia="en-US"/>
              </w:rPr>
            </w:pPr>
            <w:r>
              <w:rPr>
                <w:rFonts w:eastAsiaTheme="minorEastAsia"/>
                <w:color w:val="000000" w:themeColor="text1"/>
                <w:lang w:eastAsia="en-US"/>
              </w:rPr>
              <w:t>—</w:t>
            </w:r>
          </w:p>
        </w:tc>
        <w:tc>
          <w:tcPr>
            <w:tcW w:w="2006" w:type="dxa"/>
            <w:vAlign w:val="center"/>
          </w:tcPr>
          <w:p w14:paraId="40B9BB73">
            <w:pPr>
              <w:pStyle w:val="156"/>
              <w:snapToGrid w:val="0"/>
              <w:spacing w:before="97" w:line="240" w:lineRule="auto"/>
              <w:ind w:left="110"/>
              <w:jc w:val="center"/>
              <w:rPr>
                <w:rFonts w:eastAsiaTheme="minorEastAsia"/>
                <w:color w:val="000000" w:themeColor="text1"/>
                <w:lang w:eastAsia="en-US"/>
              </w:rPr>
            </w:pPr>
            <w:r>
              <w:rPr>
                <w:rFonts w:eastAsiaTheme="minorEastAsia"/>
                <w:color w:val="000000" w:themeColor="text1"/>
                <w:lang w:eastAsia="en-US"/>
              </w:rPr>
              <w:t>—</w:t>
            </w:r>
          </w:p>
        </w:tc>
      </w:tr>
      <w:tr w14:paraId="772EDDD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415" w:type="dxa"/>
            <w:vAlign w:val="center"/>
          </w:tcPr>
          <w:p w14:paraId="3C9FC926">
            <w:pPr>
              <w:pStyle w:val="156"/>
              <w:snapToGrid w:val="0"/>
              <w:spacing w:line="240" w:lineRule="auto"/>
              <w:ind w:left="110"/>
              <w:jc w:val="center"/>
              <w:rPr>
                <w:rFonts w:eastAsiaTheme="minorEastAsia"/>
                <w:color w:val="000000" w:themeColor="text1"/>
                <w:lang w:eastAsia="en-US"/>
              </w:rPr>
            </w:pPr>
            <w:r>
              <w:rPr>
                <w:rFonts w:hint="eastAsia" w:eastAsiaTheme="minorEastAsia"/>
                <w:color w:val="000000" w:themeColor="text1"/>
                <w:lang w:eastAsia="en-US"/>
              </w:rPr>
              <w:t>1</w:t>
            </w:r>
          </w:p>
        </w:tc>
        <w:tc>
          <w:tcPr>
            <w:tcW w:w="3356" w:type="dxa"/>
            <w:vAlign w:val="center"/>
          </w:tcPr>
          <w:p w14:paraId="26BDD734">
            <w:pPr>
              <w:pStyle w:val="156"/>
              <w:snapToGrid w:val="0"/>
              <w:spacing w:before="3" w:line="240" w:lineRule="auto"/>
              <w:ind w:left="110" w:leftChars="0" w:right="1" w:rightChars="0"/>
              <w:jc w:val="center"/>
              <w:rPr>
                <w:rFonts w:eastAsiaTheme="minorEastAsia"/>
                <w:color w:val="000000" w:themeColor="text1"/>
                <w:lang w:eastAsia="en-US"/>
              </w:rPr>
            </w:pPr>
            <w:r>
              <w:rPr>
                <w:rFonts w:eastAsiaTheme="minorEastAsia"/>
                <w:color w:val="000000" w:themeColor="text1"/>
                <w:lang w:eastAsia="en-US"/>
              </w:rPr>
              <w:t>表土</w:t>
            </w:r>
            <w:r>
              <w:rPr>
                <w:rFonts w:hint="eastAsia" w:eastAsiaTheme="minorEastAsia"/>
                <w:color w:val="000000" w:themeColor="text1"/>
                <w:lang w:val="en-US" w:eastAsia="zh-CN"/>
              </w:rPr>
              <w:t>运输</w:t>
            </w:r>
            <w:r>
              <w:rPr>
                <w:rFonts w:hint="eastAsia" w:eastAsiaTheme="minorEastAsia"/>
                <w:color w:val="000000" w:themeColor="text1"/>
                <w:lang w:eastAsia="en-US"/>
              </w:rPr>
              <w:t>回覆</w:t>
            </w:r>
          </w:p>
        </w:tc>
        <w:tc>
          <w:tcPr>
            <w:tcW w:w="2051" w:type="dxa"/>
            <w:vAlign w:val="center"/>
          </w:tcPr>
          <w:p w14:paraId="4435FFBC">
            <w:pPr>
              <w:pStyle w:val="156"/>
              <w:snapToGrid w:val="0"/>
              <w:spacing w:before="50" w:line="240" w:lineRule="auto"/>
              <w:ind w:left="110" w:leftChars="0"/>
              <w:jc w:val="center"/>
              <w:rPr>
                <w:rFonts w:hint="eastAsia" w:eastAsiaTheme="minorEastAsia"/>
                <w:color w:val="000000" w:themeColor="text1"/>
                <w:lang w:eastAsia="zh-CN"/>
              </w:rPr>
            </w:pPr>
            <w:r>
              <w:rPr>
                <w:rFonts w:hint="eastAsia" w:eastAsiaTheme="minorEastAsia"/>
                <w:color w:val="000000" w:themeColor="text1"/>
                <w:lang w:eastAsia="zh-CN"/>
              </w:rPr>
              <w:t>m</w:t>
            </w:r>
            <w:r>
              <w:rPr>
                <w:rFonts w:hint="eastAsia" w:eastAsiaTheme="minorEastAsia"/>
                <w:strike w:val="0"/>
                <w:dstrike w:val="0"/>
                <w:color w:val="000000" w:themeColor="text1"/>
                <w:vertAlign w:val="superscript"/>
                <w:lang w:eastAsia="zh-CN"/>
              </w:rPr>
              <w:t>3</w:t>
            </w:r>
          </w:p>
        </w:tc>
        <w:tc>
          <w:tcPr>
            <w:tcW w:w="2006" w:type="dxa"/>
            <w:vAlign w:val="center"/>
          </w:tcPr>
          <w:p w14:paraId="502F35D5">
            <w:pPr>
              <w:pStyle w:val="156"/>
              <w:snapToGrid w:val="0"/>
              <w:spacing w:before="49" w:line="240" w:lineRule="auto"/>
              <w:ind w:left="110" w:leftChars="0"/>
              <w:jc w:val="center"/>
              <w:rPr>
                <w:rFonts w:hint="default" w:eastAsiaTheme="minorEastAsia"/>
                <w:color w:val="000000" w:themeColor="text1"/>
                <w:lang w:val="en-US" w:eastAsia="zh-CN"/>
              </w:rPr>
            </w:pPr>
            <w:r>
              <w:rPr>
                <w:rFonts w:hint="eastAsia" w:eastAsiaTheme="minorEastAsia"/>
                <w:color w:val="000000" w:themeColor="text1"/>
                <w:lang w:val="en-US" w:eastAsia="zh-CN"/>
              </w:rPr>
              <w:t>2700</w:t>
            </w:r>
          </w:p>
        </w:tc>
      </w:tr>
    </w:tbl>
    <w:p w14:paraId="275D5706">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（三）植被重建</w:t>
      </w:r>
    </w:p>
    <w:p w14:paraId="2667CE63">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气候、土壤条件污染等因素、结合主体工程各部位，在充分调查该区域乡土植被以及近几年生态环境建设工程项目成功栽植模式，并在分析其生物学特性的基础上，选择原则如下：根据矿山已有的种植经验和植被情况，本方案确定树种：乔木在种植时，树种选择落叶松；边坡防护选择栽植常春藤。</w:t>
      </w:r>
    </w:p>
    <w:p w14:paraId="0F87D8C4">
      <w:pPr>
        <w:pStyle w:val="178"/>
        <w:topLinePunct/>
        <w:rPr>
          <w:rFonts w:ascii="Times New Roman" w:hAnsi="Times New Roman" w:cs="Times New Roman"/>
          <w:color w:val="000000" w:themeColor="text1"/>
        </w:rPr>
      </w:pPr>
      <w:r>
        <w:rPr>
          <w:rFonts w:ascii="Times New Roman" w:hAnsi="Times New Roman" w:cs="Times New Roman"/>
          <w:color w:val="000000" w:themeColor="text1"/>
        </w:rPr>
        <w:t>植被恢复时间，根据当地的气候因素和种植经验，种植的最佳时节应选在4～5月和9月初。</w:t>
      </w:r>
    </w:p>
    <w:p w14:paraId="693C2566">
      <w:pPr>
        <w:pStyle w:val="178"/>
        <w:topLinePunct/>
        <w:rPr>
          <w:rFonts w:ascii="Times New Roman" w:hAnsi="Times New Roman" w:cs="Times New Roman"/>
          <w:color w:val="000000" w:themeColor="text1"/>
        </w:rPr>
      </w:pPr>
      <w:r>
        <w:rPr>
          <w:rFonts w:ascii="Times New Roman" w:hAnsi="Times New Roman" w:cs="Times New Roman"/>
          <w:color w:val="000000" w:themeColor="text1"/>
        </w:rPr>
        <w:t>1、栽植乔木</w:t>
      </w:r>
    </w:p>
    <w:p w14:paraId="27C15FEC">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本次复垦总面积</w:t>
      </w:r>
      <w:r>
        <w:rPr>
          <w:rFonts w:hint="eastAsia" w:ascii="Times New Roman" w:hAnsi="Times New Roman" w:cs="Times New Roman"/>
          <w:color w:val="000000" w:themeColor="text1"/>
        </w:rPr>
        <w:t>12.54</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，恢复乔木林地面积</w:t>
      </w:r>
      <w:r>
        <w:rPr>
          <w:rFonts w:hint="eastAsia" w:ascii="Times New Roman" w:hAnsi="Times New Roman" w:cs="Times New Roman"/>
          <w:color w:val="000000" w:themeColor="text1"/>
        </w:rPr>
        <w:t>12.</w:t>
      </w:r>
      <w:r>
        <w:rPr>
          <w:rFonts w:hint="eastAsia" w:ascii="Times New Roman" w:hAnsi="Times New Roman" w:cs="Times New Roman"/>
          <w:color w:val="000000" w:themeColor="text1"/>
          <w:lang w:val="en-US" w:eastAsia="zh-CN"/>
        </w:rPr>
        <w:t>54</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。对复垦为乔木林地区域树种推荐选择落叶松，本次设计采用穴植方式恢复林地，株、行距2.0m×2.0m，种植密度应为2500穴/h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左右，树穴规格（长*宽*高）为0.</w:t>
      </w:r>
      <w:r>
        <w:rPr>
          <w:rFonts w:hint="eastAsia" w:ascii="Times New Roman" w:hAnsi="Times New Roman" w:cs="Times New Roman"/>
          <w:color w:val="000000" w:themeColor="text1"/>
          <w:lang w:val="en-US" w:eastAsia="zh-CN"/>
        </w:rPr>
        <w:t>4</w:t>
      </w:r>
      <w:r>
        <w:rPr>
          <w:rFonts w:ascii="Times New Roman" w:hAnsi="Times New Roman" w:cs="Times New Roman"/>
          <w:color w:val="000000" w:themeColor="text1"/>
        </w:rPr>
        <w:t>m*0.</w:t>
      </w:r>
      <w:r>
        <w:rPr>
          <w:rFonts w:hint="eastAsia" w:ascii="Times New Roman" w:hAnsi="Times New Roman" w:cs="Times New Roman"/>
          <w:color w:val="000000" w:themeColor="text1"/>
          <w:lang w:val="en-US" w:eastAsia="zh-CN"/>
        </w:rPr>
        <w:t>4</w:t>
      </w:r>
      <w:r>
        <w:rPr>
          <w:rFonts w:ascii="Times New Roman" w:hAnsi="Times New Roman" w:cs="Times New Roman"/>
          <w:color w:val="000000" w:themeColor="text1"/>
        </w:rPr>
        <w:t>m*0.5m，单个树穴体积为0.</w:t>
      </w:r>
      <w:r>
        <w:rPr>
          <w:rFonts w:hint="eastAsia" w:ascii="Times New Roman" w:hAnsi="Times New Roman" w:cs="Times New Roman"/>
          <w:color w:val="000000" w:themeColor="text1"/>
          <w:lang w:val="en-US" w:eastAsia="zh-CN"/>
        </w:rPr>
        <w:t>08</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，植树总数为</w:t>
      </w:r>
      <w:r>
        <w:rPr>
          <w:rFonts w:hint="eastAsia" w:ascii="Times New Roman" w:hAnsi="Times New Roman" w:cs="Times New Roman"/>
          <w:color w:val="000000" w:themeColor="text1"/>
          <w:lang w:eastAsia="zh-CN"/>
        </w:rPr>
        <w:t>31350</w:t>
      </w:r>
      <w:r>
        <w:rPr>
          <w:rFonts w:ascii="Times New Roman" w:hAnsi="Times New Roman" w:cs="Times New Roman"/>
          <w:color w:val="000000" w:themeColor="text1"/>
        </w:rPr>
        <w:t>株。</w:t>
      </w:r>
    </w:p>
    <w:p w14:paraId="1A8F2CA1">
      <w:pPr>
        <w:pStyle w:val="178"/>
        <w:topLinePunct/>
        <w:rPr>
          <w:rFonts w:ascii="Times New Roman" w:hAnsi="Times New Roman" w:cs="Times New Roman"/>
          <w:color w:val="000000" w:themeColor="text1"/>
        </w:rPr>
      </w:pPr>
      <w:r>
        <w:rPr>
          <w:rFonts w:ascii="Times New Roman" w:hAnsi="Times New Roman" w:cs="Times New Roman"/>
          <w:color w:val="000000" w:themeColor="text1"/>
        </w:rPr>
        <w:t>2、栽植常春藤</w:t>
      </w:r>
    </w:p>
    <w:p w14:paraId="123B895C">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在开采平台四周边坡坡脚栽植常春藤，本次设计采用采用植槽填土种植，植槽宽0.</w:t>
      </w:r>
      <w:r>
        <w:rPr>
          <w:rFonts w:hint="eastAsia" w:ascii="Times New Roman" w:hAnsi="Times New Roman" w:cs="Times New Roman"/>
          <w:color w:val="000000" w:themeColor="text1"/>
          <w:lang w:val="en-US" w:eastAsia="zh-CN"/>
        </w:rPr>
        <w:t>3</w:t>
      </w:r>
      <w:r>
        <w:rPr>
          <w:rFonts w:ascii="Times New Roman" w:hAnsi="Times New Roman" w:cs="Times New Roman"/>
          <w:color w:val="000000" w:themeColor="text1"/>
        </w:rPr>
        <w:t>m、高0.</w:t>
      </w:r>
      <w:r>
        <w:rPr>
          <w:rFonts w:hint="eastAsia" w:ascii="Times New Roman" w:hAnsi="Times New Roman" w:cs="Times New Roman"/>
          <w:color w:val="000000" w:themeColor="text1"/>
          <w:lang w:val="en-US" w:eastAsia="zh-CN"/>
        </w:rPr>
        <w:t>3</w:t>
      </w:r>
      <w:r>
        <w:rPr>
          <w:rFonts w:ascii="Times New Roman" w:hAnsi="Times New Roman" w:cs="Times New Roman"/>
          <w:color w:val="000000" w:themeColor="text1"/>
        </w:rPr>
        <w:t>m，采掘场底部总长约</w:t>
      </w:r>
      <w:r>
        <w:rPr>
          <w:rFonts w:hint="eastAsia" w:ascii="Times New Roman" w:hAnsi="Times New Roman" w:cs="Times New Roman"/>
          <w:color w:val="000000" w:themeColor="text1"/>
        </w:rPr>
        <w:t>2600</w:t>
      </w:r>
      <w:r>
        <w:rPr>
          <w:rFonts w:ascii="Times New Roman" w:hAnsi="Times New Roman" w:cs="Times New Roman"/>
          <w:color w:val="000000" w:themeColor="text1"/>
        </w:rPr>
        <w:t>m，株距0.5m，共栽种</w:t>
      </w:r>
      <w:r>
        <w:rPr>
          <w:rFonts w:hint="eastAsia" w:ascii="Times New Roman" w:hAnsi="Times New Roman" w:cs="Times New Roman"/>
          <w:color w:val="000000" w:themeColor="text1"/>
        </w:rPr>
        <w:t>5200</w:t>
      </w:r>
      <w:r>
        <w:rPr>
          <w:rFonts w:ascii="Times New Roman" w:hAnsi="Times New Roman" w:cs="Times New Roman"/>
          <w:color w:val="000000" w:themeColor="text1"/>
        </w:rPr>
        <w:t>株。</w:t>
      </w:r>
    </w:p>
    <w:p w14:paraId="38343EED">
      <w:pPr>
        <w:pStyle w:val="178"/>
        <w:topLinePunct/>
        <w:rPr>
          <w:rFonts w:ascii="Times New Roman" w:hAnsi="Times New Roman" w:cs="Times New Roman"/>
          <w:color w:val="000000" w:themeColor="text1"/>
        </w:rPr>
      </w:pPr>
      <w:r>
        <w:rPr>
          <w:rFonts w:ascii="Times New Roman" w:hAnsi="Times New Roman" w:cs="Times New Roman"/>
          <w:color w:val="000000" w:themeColor="text1"/>
        </w:rPr>
        <w:t>3、主要工程量植被重建工程设计工程量测算见表4-4。</w:t>
      </w:r>
    </w:p>
    <w:p w14:paraId="70B1D3D9">
      <w:pPr>
        <w:tabs>
          <w:tab w:val="left" w:pos="3403"/>
        </w:tabs>
        <w:spacing w:before="28"/>
        <w:ind w:left="2652" w:right="44"/>
        <w:rPr>
          <w:rFonts w:ascii="Times New Roman" w:hAnsi="Times New Roman" w:cs="Times New Roman"/>
          <w:color w:val="000000" w:themeColor="text1"/>
        </w:rPr>
      </w:pPr>
      <w:r>
        <w:rPr>
          <w:rFonts w:ascii="Times New Roman" w:hAnsi="Times New Roman" w:cs="Times New Roman"/>
          <w:b/>
          <w:color w:val="000000" w:themeColor="text1"/>
          <w:sz w:val="24"/>
          <w:szCs w:val="24"/>
        </w:rPr>
        <w:t>表4-4</w:t>
      </w:r>
      <w:r>
        <w:rPr>
          <w:rFonts w:ascii="Times New Roman" w:hAnsi="Times New Roman" w:cs="Times New Roman"/>
          <w:b/>
          <w:color w:val="000000" w:themeColor="text1"/>
          <w:sz w:val="24"/>
          <w:szCs w:val="24"/>
        </w:rPr>
        <w:tab/>
      </w:r>
      <w:r>
        <w:rPr>
          <w:rFonts w:ascii="Times New Roman" w:hAnsi="Times New Roman" w:cs="Times New Roman"/>
          <w:b/>
          <w:color w:val="000000" w:themeColor="text1"/>
          <w:sz w:val="24"/>
          <w:szCs w:val="24"/>
        </w:rPr>
        <w:t>植被重建工程量测算各分区统计表</w:t>
      </w:r>
    </w:p>
    <w:tbl>
      <w:tblPr>
        <w:tblStyle w:val="185"/>
        <w:tblW w:w="500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1414"/>
        <w:gridCol w:w="3353"/>
        <w:gridCol w:w="2049"/>
        <w:gridCol w:w="2004"/>
      </w:tblGrid>
      <w:tr w14:paraId="3A9C8F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59" w:type="dxa"/>
          </w:tcPr>
          <w:p w14:paraId="4A977224">
            <w:pPr>
              <w:pStyle w:val="156"/>
              <w:snapToGrid w:val="0"/>
              <w:spacing w:line="240" w:lineRule="auto"/>
              <w:ind w:left="110"/>
              <w:jc w:val="center"/>
              <w:rPr>
                <w:rFonts w:eastAsiaTheme="minorEastAsia"/>
                <w:b/>
                <w:color w:val="000000" w:themeColor="text1"/>
                <w:lang w:eastAsia="en-US"/>
              </w:rPr>
            </w:pPr>
            <w:r>
              <w:rPr>
                <w:rFonts w:eastAsiaTheme="minorEastAsia"/>
                <w:b/>
                <w:color w:val="000000" w:themeColor="text1"/>
                <w:lang w:eastAsia="en-US"/>
              </w:rPr>
              <w:t>序号</w:t>
            </w:r>
          </w:p>
        </w:tc>
        <w:tc>
          <w:tcPr>
            <w:tcW w:w="3460" w:type="dxa"/>
          </w:tcPr>
          <w:p w14:paraId="5178532D">
            <w:pPr>
              <w:pStyle w:val="156"/>
              <w:snapToGrid w:val="0"/>
              <w:spacing w:line="240" w:lineRule="auto"/>
              <w:ind w:left="110"/>
              <w:jc w:val="center"/>
              <w:rPr>
                <w:rFonts w:eastAsiaTheme="minorEastAsia"/>
                <w:b/>
                <w:color w:val="000000" w:themeColor="text1"/>
                <w:lang w:eastAsia="en-US"/>
              </w:rPr>
            </w:pPr>
            <w:r>
              <w:rPr>
                <w:rFonts w:eastAsiaTheme="minorEastAsia"/>
                <w:b/>
                <w:color w:val="000000" w:themeColor="text1"/>
                <w:lang w:eastAsia="en-US"/>
              </w:rPr>
              <w:t>工程名称</w:t>
            </w:r>
          </w:p>
        </w:tc>
        <w:tc>
          <w:tcPr>
            <w:tcW w:w="2114" w:type="dxa"/>
          </w:tcPr>
          <w:p w14:paraId="2EB76C8F">
            <w:pPr>
              <w:pStyle w:val="156"/>
              <w:snapToGrid w:val="0"/>
              <w:spacing w:line="240" w:lineRule="auto"/>
              <w:ind w:left="110"/>
              <w:rPr>
                <w:rFonts w:eastAsiaTheme="minorEastAsia"/>
                <w:b/>
                <w:color w:val="000000" w:themeColor="text1"/>
                <w:lang w:eastAsia="en-US"/>
              </w:rPr>
            </w:pPr>
            <w:r>
              <w:rPr>
                <w:rFonts w:eastAsiaTheme="minorEastAsia"/>
                <w:b/>
                <w:color w:val="000000" w:themeColor="text1"/>
                <w:lang w:eastAsia="en-US"/>
              </w:rPr>
              <w:t>计算单位</w:t>
            </w:r>
          </w:p>
        </w:tc>
        <w:tc>
          <w:tcPr>
            <w:tcW w:w="2067" w:type="dxa"/>
          </w:tcPr>
          <w:p w14:paraId="4E7494FC">
            <w:pPr>
              <w:pStyle w:val="156"/>
              <w:snapToGrid w:val="0"/>
              <w:spacing w:line="240" w:lineRule="auto"/>
              <w:ind w:left="110"/>
              <w:jc w:val="center"/>
              <w:rPr>
                <w:rFonts w:eastAsiaTheme="minorEastAsia"/>
                <w:b/>
                <w:color w:val="000000" w:themeColor="text1"/>
                <w:lang w:eastAsia="en-US"/>
              </w:rPr>
            </w:pPr>
            <w:r>
              <w:rPr>
                <w:rFonts w:eastAsiaTheme="minorEastAsia"/>
                <w:b/>
                <w:color w:val="000000" w:themeColor="text1"/>
                <w:lang w:eastAsia="en-US"/>
              </w:rPr>
              <w:t>工程量</w:t>
            </w:r>
          </w:p>
        </w:tc>
      </w:tr>
      <w:tr w14:paraId="48E9B3E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59" w:type="dxa"/>
          </w:tcPr>
          <w:p w14:paraId="676E4449">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（一）</w:t>
            </w:r>
          </w:p>
        </w:tc>
        <w:tc>
          <w:tcPr>
            <w:tcW w:w="3460" w:type="dxa"/>
          </w:tcPr>
          <w:p w14:paraId="4FED1B27">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植被重建工程</w:t>
            </w:r>
          </w:p>
        </w:tc>
        <w:tc>
          <w:tcPr>
            <w:tcW w:w="2114" w:type="dxa"/>
          </w:tcPr>
          <w:p w14:paraId="5D70CAA5">
            <w:pPr>
              <w:pStyle w:val="156"/>
              <w:snapToGrid w:val="0"/>
              <w:spacing w:line="240" w:lineRule="auto"/>
              <w:ind w:left="110"/>
              <w:jc w:val="center"/>
              <w:rPr>
                <w:rFonts w:eastAsiaTheme="minorEastAsia"/>
                <w:color w:val="000000" w:themeColor="text1"/>
                <w:lang w:eastAsia="en-US"/>
              </w:rPr>
            </w:pPr>
          </w:p>
        </w:tc>
        <w:tc>
          <w:tcPr>
            <w:tcW w:w="2067" w:type="dxa"/>
          </w:tcPr>
          <w:p w14:paraId="28B0EC2B">
            <w:pPr>
              <w:pStyle w:val="156"/>
              <w:snapToGrid w:val="0"/>
              <w:spacing w:line="240" w:lineRule="auto"/>
              <w:ind w:left="110"/>
              <w:jc w:val="center"/>
              <w:rPr>
                <w:rFonts w:eastAsiaTheme="minorEastAsia"/>
                <w:color w:val="000000" w:themeColor="text1"/>
                <w:lang w:eastAsia="en-US"/>
              </w:rPr>
            </w:pPr>
          </w:p>
        </w:tc>
      </w:tr>
      <w:tr w14:paraId="304B5B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59" w:type="dxa"/>
          </w:tcPr>
          <w:p w14:paraId="6F69F9A7">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1</w:t>
            </w:r>
          </w:p>
        </w:tc>
        <w:tc>
          <w:tcPr>
            <w:tcW w:w="3460" w:type="dxa"/>
          </w:tcPr>
          <w:p w14:paraId="531451B1">
            <w:pPr>
              <w:pStyle w:val="156"/>
              <w:snapToGrid w:val="0"/>
              <w:spacing w:line="240" w:lineRule="auto"/>
              <w:ind w:left="110" w:right="1"/>
              <w:jc w:val="center"/>
              <w:rPr>
                <w:rFonts w:eastAsiaTheme="minorEastAsia"/>
                <w:color w:val="000000" w:themeColor="text1"/>
                <w:lang w:eastAsia="en-US"/>
              </w:rPr>
            </w:pPr>
            <w:r>
              <w:rPr>
                <w:rFonts w:eastAsiaTheme="minorEastAsia"/>
                <w:color w:val="000000" w:themeColor="text1"/>
                <w:lang w:eastAsia="en-US"/>
              </w:rPr>
              <w:t>栽植乔木</w:t>
            </w:r>
          </w:p>
        </w:tc>
        <w:tc>
          <w:tcPr>
            <w:tcW w:w="2114" w:type="dxa"/>
          </w:tcPr>
          <w:p w14:paraId="717B0717">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株</w:t>
            </w:r>
          </w:p>
        </w:tc>
        <w:tc>
          <w:tcPr>
            <w:tcW w:w="2067" w:type="dxa"/>
          </w:tcPr>
          <w:p w14:paraId="55D1ABF7">
            <w:pPr>
              <w:pStyle w:val="156"/>
              <w:snapToGrid w:val="0"/>
              <w:spacing w:before="45" w:line="240" w:lineRule="auto"/>
              <w:ind w:left="110"/>
              <w:jc w:val="center"/>
              <w:rPr>
                <w:rFonts w:hint="eastAsia" w:eastAsiaTheme="minorEastAsia"/>
                <w:color w:val="000000" w:themeColor="text1"/>
                <w:lang w:eastAsia="zh-CN"/>
              </w:rPr>
            </w:pPr>
            <w:r>
              <w:rPr>
                <w:rFonts w:hint="eastAsia" w:eastAsiaTheme="minorEastAsia"/>
                <w:color w:val="000000" w:themeColor="text1"/>
                <w:lang w:eastAsia="zh-CN"/>
              </w:rPr>
              <w:t>31350</w:t>
            </w:r>
          </w:p>
        </w:tc>
      </w:tr>
      <w:tr w14:paraId="130021D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59" w:type="dxa"/>
          </w:tcPr>
          <w:p w14:paraId="130AE759">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2</w:t>
            </w:r>
          </w:p>
        </w:tc>
        <w:tc>
          <w:tcPr>
            <w:tcW w:w="3460" w:type="dxa"/>
          </w:tcPr>
          <w:p w14:paraId="3FEBB130">
            <w:pPr>
              <w:pStyle w:val="156"/>
              <w:snapToGrid w:val="0"/>
              <w:spacing w:before="8" w:line="240" w:lineRule="auto"/>
              <w:ind w:left="110" w:right="1"/>
              <w:jc w:val="center"/>
              <w:rPr>
                <w:rFonts w:eastAsiaTheme="minorEastAsia"/>
                <w:color w:val="000000" w:themeColor="text1"/>
                <w:lang w:eastAsia="en-US"/>
              </w:rPr>
            </w:pPr>
            <w:r>
              <w:rPr>
                <w:rFonts w:eastAsiaTheme="minorEastAsia"/>
                <w:color w:val="000000" w:themeColor="text1"/>
                <w:lang w:eastAsia="en-US"/>
              </w:rPr>
              <w:t>栽植常春藤</w:t>
            </w:r>
          </w:p>
        </w:tc>
        <w:tc>
          <w:tcPr>
            <w:tcW w:w="2114" w:type="dxa"/>
          </w:tcPr>
          <w:p w14:paraId="0FE162AE">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株</w:t>
            </w:r>
          </w:p>
        </w:tc>
        <w:tc>
          <w:tcPr>
            <w:tcW w:w="2067" w:type="dxa"/>
          </w:tcPr>
          <w:p w14:paraId="79FE7D38">
            <w:pPr>
              <w:pStyle w:val="156"/>
              <w:snapToGrid w:val="0"/>
              <w:spacing w:before="45" w:line="240" w:lineRule="auto"/>
              <w:ind w:left="110"/>
              <w:jc w:val="center"/>
              <w:rPr>
                <w:rFonts w:eastAsiaTheme="minorEastAsia"/>
                <w:color w:val="000000" w:themeColor="text1"/>
                <w:lang w:eastAsia="en-US"/>
              </w:rPr>
            </w:pPr>
            <w:r>
              <w:rPr>
                <w:rFonts w:hint="eastAsia" w:eastAsiaTheme="minorEastAsia"/>
                <w:color w:val="000000" w:themeColor="text1"/>
                <w:lang w:eastAsia="en-US"/>
              </w:rPr>
              <w:t>5200</w:t>
            </w:r>
          </w:p>
        </w:tc>
      </w:tr>
    </w:tbl>
    <w:p w14:paraId="2CB96E2A">
      <w:pPr>
        <w:pStyle w:val="179"/>
        <w:topLinePunct/>
        <w:rPr>
          <w:rFonts w:ascii="Times New Roman" w:hAnsi="Times New Roman" w:cs="Times New Roman"/>
          <w:color w:val="000000" w:themeColor="text1"/>
        </w:rPr>
      </w:pPr>
      <w:r>
        <w:rPr>
          <w:rFonts w:ascii="Times New Roman" w:hAnsi="Times New Roman" w:cs="Times New Roman"/>
          <w:color w:val="000000" w:themeColor="text1"/>
        </w:rPr>
        <w:t>（四）景观营建</w:t>
      </w:r>
    </w:p>
    <w:p w14:paraId="02131A34">
      <w:pPr>
        <w:pStyle w:val="178"/>
        <w:topLinePunct/>
        <w:rPr>
          <w:rFonts w:ascii="Times New Roman" w:hAnsi="Times New Roman" w:cs="Times New Roman"/>
          <w:color w:val="000000" w:themeColor="text1"/>
        </w:rPr>
      </w:pPr>
      <w:r>
        <w:rPr>
          <w:rFonts w:ascii="Times New Roman" w:hAnsi="Times New Roman" w:cs="Times New Roman"/>
          <w:color w:val="000000" w:themeColor="text1"/>
        </w:rPr>
        <w:t>为修复矿区受损的廊道，合理利用附近资源，为植被恢复创造良好条件，恢复其连通性和功能性采取以下措施：</w:t>
      </w:r>
    </w:p>
    <w:p w14:paraId="249A6963">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1、警示牌</w:t>
      </w:r>
    </w:p>
    <w:p w14:paraId="057242EA">
      <w:pPr>
        <w:pStyle w:val="178"/>
        <w:topLinePunct/>
        <w:rPr>
          <w:rFonts w:ascii="Times New Roman" w:hAnsi="Times New Roman" w:cs="Times New Roman"/>
          <w:color w:val="000000" w:themeColor="text1"/>
        </w:rPr>
      </w:pPr>
      <w:r>
        <w:rPr>
          <w:rFonts w:ascii="Times New Roman" w:hAnsi="Times New Roman" w:cs="Times New Roman"/>
          <w:color w:val="000000" w:themeColor="text1"/>
        </w:rPr>
        <w:t>为防止矿山附近农业生产人员误入采场从而引发危险，设计在在露天采场</w:t>
      </w:r>
      <w:r>
        <w:rPr>
          <w:rFonts w:hint="eastAsia" w:ascii="Times New Roman" w:hAnsi="Times New Roman" w:cs="Times New Roman"/>
          <w:color w:val="000000" w:themeColor="text1"/>
        </w:rPr>
        <w:t>西、南、东</w:t>
      </w:r>
      <w:r>
        <w:rPr>
          <w:rFonts w:ascii="Times New Roman" w:hAnsi="Times New Roman" w:cs="Times New Roman"/>
          <w:color w:val="000000" w:themeColor="text1"/>
        </w:rPr>
        <w:t>侧高陡边坡处设立警示牌，周长</w:t>
      </w:r>
      <w:r>
        <w:rPr>
          <w:rFonts w:hint="eastAsia" w:ascii="Times New Roman" w:hAnsi="Times New Roman" w:cs="Times New Roman"/>
          <w:color w:val="000000" w:themeColor="text1"/>
        </w:rPr>
        <w:t>1300</w:t>
      </w:r>
      <w:r>
        <w:rPr>
          <w:rFonts w:ascii="Times New Roman" w:hAnsi="Times New Roman" w:cs="Times New Roman"/>
          <w:color w:val="000000" w:themeColor="text1"/>
        </w:rPr>
        <w:t>m，每隔约100m设一个警示牌，需设13个警示牌。施工方法主要为人工安装。</w:t>
      </w:r>
    </w:p>
    <w:p w14:paraId="0BCE9FEE">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2、开挖汇水渠</w:t>
      </w:r>
    </w:p>
    <w:p w14:paraId="7E496020">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生产期间，采坑内的积水可以利用排水设备将其排出。当矿山闭坑以后，采场内无任何排水设施。由于采坑深度较大，凹陷的采坑内在雨季将会形成一定量的积水，给附近的村民生产带来一定的安全隐患。为防止坑底汇水，不利于植被生长，在坑底周围开挖汇水渠，使汇水渠标高低于坑底标高。修筑梯形汇水渠，设计断面尺寸顶宽×高×底宽为1.5m×1.0m×0.5m，渠长</w:t>
      </w:r>
      <w:r>
        <w:rPr>
          <w:rFonts w:hint="eastAsia" w:ascii="Times New Roman" w:hAnsi="Times New Roman" w:cs="Times New Roman"/>
          <w:color w:val="000000" w:themeColor="text1"/>
        </w:rPr>
        <w:t>12</w:t>
      </w:r>
      <w:r>
        <w:rPr>
          <w:rFonts w:ascii="Times New Roman" w:hAnsi="Times New Roman" w:cs="Times New Roman"/>
          <w:color w:val="000000" w:themeColor="text1"/>
        </w:rPr>
        <w:t>00m，开挖土方量为</w:t>
      </w:r>
      <w:r>
        <w:rPr>
          <w:rFonts w:hint="eastAsia" w:ascii="Times New Roman" w:hAnsi="Times New Roman" w:cs="Times New Roman"/>
          <w:color w:val="000000" w:themeColor="text1"/>
        </w:rPr>
        <w:t>9</w:t>
      </w:r>
      <w:r>
        <w:rPr>
          <w:rFonts w:ascii="Times New Roman" w:hAnsi="Times New Roman" w:cs="Times New Roman"/>
          <w:color w:val="000000" w:themeColor="text1"/>
        </w:rPr>
        <w:t>00</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w:t>
      </w:r>
    </w:p>
    <w:p w14:paraId="5598DF6F">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lang w:val="en-US" w:eastAsia="zh-CN"/>
        </w:rPr>
        <w:t>3</w:t>
      </w:r>
      <w:r>
        <w:rPr>
          <w:rFonts w:ascii="Times New Roman" w:hAnsi="Times New Roman" w:cs="Times New Roman"/>
          <w:color w:val="000000" w:themeColor="text1"/>
        </w:rPr>
        <w:t>、主要工程量景观营建工程设计工程量测算见表4-5。</w:t>
      </w:r>
    </w:p>
    <w:p w14:paraId="583B0075">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表4-5 景观营建工程工程量汇总表</w:t>
      </w:r>
    </w:p>
    <w:tbl>
      <w:tblPr>
        <w:tblStyle w:val="185"/>
        <w:tblW w:w="5017"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1422"/>
        <w:gridCol w:w="3360"/>
        <w:gridCol w:w="1867"/>
        <w:gridCol w:w="2200"/>
      </w:tblGrid>
      <w:tr w14:paraId="0ADA9D5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blHeader/>
        </w:trPr>
        <w:tc>
          <w:tcPr>
            <w:tcW w:w="1417" w:type="dxa"/>
          </w:tcPr>
          <w:p w14:paraId="64F543DD">
            <w:pPr>
              <w:pStyle w:val="156"/>
              <w:snapToGrid w:val="0"/>
              <w:spacing w:line="240" w:lineRule="auto"/>
              <w:ind w:left="110" w:right="1"/>
              <w:jc w:val="center"/>
              <w:rPr>
                <w:rFonts w:eastAsiaTheme="minorEastAsia"/>
                <w:b/>
                <w:color w:val="000000" w:themeColor="text1"/>
                <w:lang w:eastAsia="en-US"/>
              </w:rPr>
            </w:pPr>
            <w:r>
              <w:rPr>
                <w:rFonts w:eastAsiaTheme="minorEastAsia"/>
                <w:b/>
                <w:color w:val="000000" w:themeColor="text1"/>
                <w:lang w:eastAsia="en-US"/>
              </w:rPr>
              <w:t>序号</w:t>
            </w:r>
          </w:p>
        </w:tc>
        <w:tc>
          <w:tcPr>
            <w:tcW w:w="3349" w:type="dxa"/>
          </w:tcPr>
          <w:p w14:paraId="46FF98C0">
            <w:pPr>
              <w:pStyle w:val="156"/>
              <w:snapToGrid w:val="0"/>
              <w:spacing w:line="240" w:lineRule="auto"/>
              <w:ind w:left="110" w:right="1"/>
              <w:jc w:val="center"/>
              <w:rPr>
                <w:rFonts w:eastAsiaTheme="minorEastAsia"/>
                <w:b/>
                <w:color w:val="000000" w:themeColor="text1"/>
                <w:lang w:eastAsia="en-US"/>
              </w:rPr>
            </w:pPr>
            <w:r>
              <w:rPr>
                <w:rFonts w:eastAsiaTheme="minorEastAsia"/>
                <w:b/>
                <w:color w:val="000000" w:themeColor="text1"/>
                <w:lang w:eastAsia="en-US"/>
              </w:rPr>
              <w:t>工程分类</w:t>
            </w:r>
          </w:p>
        </w:tc>
        <w:tc>
          <w:tcPr>
            <w:tcW w:w="1861" w:type="dxa"/>
          </w:tcPr>
          <w:p w14:paraId="7B805A4E">
            <w:pPr>
              <w:pStyle w:val="156"/>
              <w:snapToGrid w:val="0"/>
              <w:spacing w:line="240" w:lineRule="auto"/>
              <w:ind w:left="110" w:right="1"/>
              <w:jc w:val="center"/>
              <w:rPr>
                <w:rFonts w:eastAsiaTheme="minorEastAsia"/>
                <w:b/>
                <w:color w:val="000000" w:themeColor="text1"/>
                <w:lang w:eastAsia="en-US"/>
              </w:rPr>
            </w:pPr>
            <w:r>
              <w:rPr>
                <w:rFonts w:eastAsiaTheme="minorEastAsia"/>
                <w:b/>
                <w:color w:val="000000" w:themeColor="text1"/>
                <w:lang w:eastAsia="en-US"/>
              </w:rPr>
              <w:t>单位</w:t>
            </w:r>
          </w:p>
        </w:tc>
        <w:tc>
          <w:tcPr>
            <w:tcW w:w="2193" w:type="dxa"/>
          </w:tcPr>
          <w:p w14:paraId="3E8BB4E1">
            <w:pPr>
              <w:pStyle w:val="156"/>
              <w:snapToGrid w:val="0"/>
              <w:spacing w:line="240" w:lineRule="auto"/>
              <w:ind w:left="110" w:right="1"/>
              <w:jc w:val="center"/>
              <w:rPr>
                <w:rFonts w:eastAsiaTheme="minorEastAsia"/>
                <w:b/>
                <w:color w:val="000000" w:themeColor="text1"/>
                <w:lang w:eastAsia="en-US"/>
              </w:rPr>
            </w:pPr>
            <w:r>
              <w:rPr>
                <w:rFonts w:eastAsiaTheme="minorEastAsia"/>
                <w:b/>
                <w:color w:val="000000" w:themeColor="text1"/>
                <w:lang w:eastAsia="en-US"/>
              </w:rPr>
              <w:t>工程量</w:t>
            </w:r>
          </w:p>
        </w:tc>
      </w:tr>
      <w:tr w14:paraId="300AEB6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17" w:type="dxa"/>
          </w:tcPr>
          <w:p w14:paraId="6B60B3DD">
            <w:pPr>
              <w:pStyle w:val="156"/>
              <w:snapToGrid w:val="0"/>
              <w:spacing w:line="240" w:lineRule="auto"/>
              <w:ind w:left="110"/>
              <w:jc w:val="center"/>
              <w:rPr>
                <w:rFonts w:eastAsiaTheme="minorEastAsia"/>
                <w:color w:val="000000" w:themeColor="text1"/>
                <w:lang w:eastAsia="en-US"/>
              </w:rPr>
            </w:pPr>
            <w:r>
              <w:rPr>
                <w:rFonts w:eastAsiaTheme="minorEastAsia"/>
                <w:color w:val="000000" w:themeColor="text1"/>
                <w:lang w:eastAsia="en-US"/>
              </w:rPr>
              <w:t>（一）</w:t>
            </w:r>
          </w:p>
        </w:tc>
        <w:tc>
          <w:tcPr>
            <w:tcW w:w="3349" w:type="dxa"/>
          </w:tcPr>
          <w:p w14:paraId="75B7DF3E">
            <w:pPr>
              <w:pStyle w:val="156"/>
              <w:snapToGrid w:val="0"/>
              <w:spacing w:line="240" w:lineRule="auto"/>
              <w:ind w:left="110" w:right="1"/>
              <w:jc w:val="center"/>
              <w:rPr>
                <w:rFonts w:eastAsiaTheme="minorEastAsia"/>
                <w:color w:val="000000" w:themeColor="text1"/>
                <w:lang w:eastAsia="en-US"/>
              </w:rPr>
            </w:pPr>
            <w:r>
              <w:rPr>
                <w:rFonts w:eastAsiaTheme="minorEastAsia"/>
                <w:color w:val="000000" w:themeColor="text1"/>
                <w:lang w:eastAsia="en-US"/>
              </w:rPr>
              <w:t>景观营建工程</w:t>
            </w:r>
          </w:p>
        </w:tc>
        <w:tc>
          <w:tcPr>
            <w:tcW w:w="1861" w:type="dxa"/>
          </w:tcPr>
          <w:p w14:paraId="7DCBD5FF">
            <w:pPr>
              <w:pStyle w:val="156"/>
              <w:snapToGrid w:val="0"/>
              <w:spacing w:line="240" w:lineRule="auto"/>
              <w:ind w:left="110" w:right="1"/>
              <w:jc w:val="center"/>
              <w:rPr>
                <w:rFonts w:eastAsiaTheme="minorEastAsia"/>
                <w:color w:val="000000" w:themeColor="text1"/>
                <w:lang w:eastAsia="en-US"/>
              </w:rPr>
            </w:pPr>
          </w:p>
        </w:tc>
        <w:tc>
          <w:tcPr>
            <w:tcW w:w="2193" w:type="dxa"/>
          </w:tcPr>
          <w:p w14:paraId="30365167">
            <w:pPr>
              <w:pStyle w:val="156"/>
              <w:snapToGrid w:val="0"/>
              <w:spacing w:line="240" w:lineRule="auto"/>
              <w:ind w:left="110" w:right="1"/>
              <w:jc w:val="center"/>
              <w:rPr>
                <w:rFonts w:eastAsiaTheme="minorEastAsia"/>
                <w:color w:val="000000" w:themeColor="text1"/>
                <w:lang w:eastAsia="en-US"/>
              </w:rPr>
            </w:pPr>
          </w:p>
        </w:tc>
      </w:tr>
      <w:tr w14:paraId="0302B7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17" w:type="dxa"/>
          </w:tcPr>
          <w:p w14:paraId="4A8B8263">
            <w:pPr>
              <w:pStyle w:val="156"/>
              <w:snapToGrid w:val="0"/>
              <w:spacing w:line="240" w:lineRule="auto"/>
              <w:ind w:left="110" w:right="1"/>
              <w:jc w:val="center"/>
              <w:rPr>
                <w:rFonts w:eastAsiaTheme="minorEastAsia"/>
                <w:color w:val="000000" w:themeColor="text1"/>
                <w:lang w:eastAsia="en-US"/>
              </w:rPr>
            </w:pPr>
            <w:r>
              <w:rPr>
                <w:rFonts w:eastAsiaTheme="minorEastAsia"/>
                <w:color w:val="000000" w:themeColor="text1"/>
                <w:lang w:eastAsia="en-US"/>
              </w:rPr>
              <w:t>1</w:t>
            </w:r>
          </w:p>
        </w:tc>
        <w:tc>
          <w:tcPr>
            <w:tcW w:w="3349" w:type="dxa"/>
          </w:tcPr>
          <w:p w14:paraId="51D48847">
            <w:pPr>
              <w:pStyle w:val="156"/>
              <w:snapToGrid w:val="0"/>
              <w:spacing w:line="240" w:lineRule="auto"/>
              <w:ind w:left="110" w:right="1"/>
              <w:jc w:val="center"/>
              <w:rPr>
                <w:rFonts w:eastAsiaTheme="minorEastAsia"/>
                <w:color w:val="000000" w:themeColor="text1"/>
                <w:lang w:eastAsia="en-US"/>
              </w:rPr>
            </w:pPr>
            <w:r>
              <w:rPr>
                <w:rFonts w:eastAsiaTheme="minorEastAsia"/>
                <w:color w:val="000000" w:themeColor="text1"/>
                <w:lang w:eastAsia="en-US"/>
              </w:rPr>
              <w:t>警示牌</w:t>
            </w:r>
          </w:p>
        </w:tc>
        <w:tc>
          <w:tcPr>
            <w:tcW w:w="1861" w:type="dxa"/>
          </w:tcPr>
          <w:p w14:paraId="61DF010D">
            <w:pPr>
              <w:pStyle w:val="156"/>
              <w:snapToGrid w:val="0"/>
              <w:spacing w:line="240" w:lineRule="auto"/>
              <w:ind w:left="110" w:right="1"/>
              <w:jc w:val="center"/>
              <w:rPr>
                <w:rFonts w:eastAsiaTheme="minorEastAsia"/>
                <w:color w:val="000000" w:themeColor="text1"/>
                <w:lang w:eastAsia="en-US"/>
              </w:rPr>
            </w:pPr>
            <w:r>
              <w:rPr>
                <w:rFonts w:eastAsiaTheme="minorEastAsia"/>
                <w:color w:val="000000" w:themeColor="text1"/>
                <w:lang w:eastAsia="en-US"/>
              </w:rPr>
              <w:t>个</w:t>
            </w:r>
          </w:p>
        </w:tc>
        <w:tc>
          <w:tcPr>
            <w:tcW w:w="2193" w:type="dxa"/>
          </w:tcPr>
          <w:p w14:paraId="630BCA9A">
            <w:pPr>
              <w:pStyle w:val="156"/>
              <w:snapToGrid w:val="0"/>
              <w:spacing w:line="240" w:lineRule="auto"/>
              <w:ind w:left="110" w:right="1"/>
              <w:jc w:val="center"/>
              <w:rPr>
                <w:rFonts w:eastAsiaTheme="minorEastAsia"/>
                <w:color w:val="000000" w:themeColor="text1"/>
                <w:lang w:eastAsia="en-US"/>
              </w:rPr>
            </w:pPr>
            <w:r>
              <w:rPr>
                <w:rFonts w:eastAsiaTheme="minorEastAsia"/>
                <w:color w:val="000000" w:themeColor="text1"/>
                <w:lang w:eastAsia="en-US"/>
              </w:rPr>
              <w:t>13</w:t>
            </w:r>
          </w:p>
        </w:tc>
      </w:tr>
      <w:tr w14:paraId="58B2C6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17" w:type="dxa"/>
          </w:tcPr>
          <w:p w14:paraId="5269549F">
            <w:pPr>
              <w:pStyle w:val="156"/>
              <w:snapToGrid w:val="0"/>
              <w:spacing w:line="240" w:lineRule="auto"/>
              <w:ind w:left="110" w:right="1"/>
              <w:jc w:val="center"/>
              <w:rPr>
                <w:rFonts w:hint="eastAsia" w:eastAsiaTheme="minorEastAsia"/>
                <w:color w:val="000000" w:themeColor="text1"/>
                <w:lang w:eastAsia="zh-CN"/>
              </w:rPr>
            </w:pPr>
            <w:r>
              <w:rPr>
                <w:rFonts w:hint="eastAsia" w:eastAsiaTheme="minorEastAsia"/>
                <w:color w:val="000000" w:themeColor="text1"/>
                <w:lang w:val="en-US" w:eastAsia="zh-CN"/>
              </w:rPr>
              <w:t>2</w:t>
            </w:r>
          </w:p>
        </w:tc>
        <w:tc>
          <w:tcPr>
            <w:tcW w:w="3349" w:type="dxa"/>
          </w:tcPr>
          <w:p w14:paraId="04B03C64">
            <w:pPr>
              <w:pStyle w:val="156"/>
              <w:snapToGrid w:val="0"/>
              <w:spacing w:line="240" w:lineRule="auto"/>
              <w:ind w:left="110" w:right="1"/>
              <w:jc w:val="center"/>
              <w:rPr>
                <w:rFonts w:eastAsiaTheme="minorEastAsia"/>
                <w:color w:val="000000" w:themeColor="text1"/>
                <w:lang w:eastAsia="en-US"/>
              </w:rPr>
            </w:pPr>
            <w:r>
              <w:rPr>
                <w:rFonts w:eastAsiaTheme="minorEastAsia"/>
                <w:color w:val="000000" w:themeColor="text1"/>
                <w:lang w:eastAsia="en-US"/>
              </w:rPr>
              <w:t>开挖汇水渠</w:t>
            </w:r>
          </w:p>
        </w:tc>
        <w:tc>
          <w:tcPr>
            <w:tcW w:w="1861" w:type="dxa"/>
          </w:tcPr>
          <w:p w14:paraId="7E8187A4">
            <w:pPr>
              <w:pStyle w:val="156"/>
              <w:snapToGrid w:val="0"/>
              <w:spacing w:line="240" w:lineRule="auto"/>
              <w:ind w:left="110" w:right="1"/>
              <w:jc w:val="center"/>
              <w:rPr>
                <w:rFonts w:hint="eastAsia" w:eastAsiaTheme="minorEastAsia"/>
                <w:color w:val="000000" w:themeColor="text1"/>
                <w:lang w:eastAsia="zh-CN"/>
              </w:rPr>
            </w:pPr>
            <w:r>
              <w:rPr>
                <w:rFonts w:hint="eastAsia" w:eastAsiaTheme="minorEastAsia"/>
                <w:color w:val="000000" w:themeColor="text1"/>
                <w:lang w:eastAsia="zh-CN"/>
              </w:rPr>
              <w:t>m</w:t>
            </w:r>
            <w:r>
              <w:rPr>
                <w:rFonts w:hint="eastAsia" w:eastAsiaTheme="minorEastAsia"/>
                <w:strike w:val="0"/>
                <w:dstrike w:val="0"/>
                <w:color w:val="000000" w:themeColor="text1"/>
                <w:vertAlign w:val="superscript"/>
                <w:lang w:eastAsia="zh-CN"/>
              </w:rPr>
              <w:t>3</w:t>
            </w:r>
          </w:p>
        </w:tc>
        <w:tc>
          <w:tcPr>
            <w:tcW w:w="2193" w:type="dxa"/>
          </w:tcPr>
          <w:p w14:paraId="318C570A">
            <w:pPr>
              <w:pStyle w:val="156"/>
              <w:snapToGrid w:val="0"/>
              <w:spacing w:line="240" w:lineRule="auto"/>
              <w:ind w:left="110" w:right="1"/>
              <w:jc w:val="center"/>
              <w:rPr>
                <w:rFonts w:eastAsiaTheme="minorEastAsia"/>
                <w:color w:val="000000" w:themeColor="text1"/>
                <w:lang w:eastAsia="en-US"/>
              </w:rPr>
            </w:pPr>
            <w:r>
              <w:rPr>
                <w:rFonts w:hint="eastAsia" w:eastAsiaTheme="minorEastAsia"/>
                <w:color w:val="000000" w:themeColor="text1"/>
                <w:lang w:eastAsia="en-US"/>
              </w:rPr>
              <w:t>9</w:t>
            </w:r>
            <w:r>
              <w:rPr>
                <w:rFonts w:eastAsiaTheme="minorEastAsia"/>
                <w:color w:val="000000" w:themeColor="text1"/>
                <w:lang w:eastAsia="en-US"/>
              </w:rPr>
              <w:t>00</w:t>
            </w:r>
          </w:p>
        </w:tc>
      </w:tr>
    </w:tbl>
    <w:p w14:paraId="41F375F2">
      <w:pPr>
        <w:pStyle w:val="174"/>
        <w:topLinePunct/>
        <w:rPr>
          <w:rFonts w:ascii="Times New Roman" w:hAnsi="Times New Roman" w:cs="Times New Roman"/>
          <w:color w:val="000000" w:themeColor="text1"/>
        </w:rPr>
      </w:pPr>
      <w:bookmarkStart w:id="32" w:name="_Toc22515"/>
      <w:r>
        <w:rPr>
          <w:rFonts w:ascii="Times New Roman" w:hAnsi="Times New Roman" w:cs="Times New Roman"/>
          <w:color w:val="000000" w:themeColor="text1"/>
        </w:rPr>
        <w:t>三、工程内容</w:t>
      </w:r>
      <w:bookmarkEnd w:id="32"/>
    </w:p>
    <w:p w14:paraId="36B15030">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（一）工程技术措施</w:t>
      </w:r>
    </w:p>
    <w:p w14:paraId="573C9CA5">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1、表土剥离：采用条带表土外移剥离法，旱地剥离厚度为0.</w:t>
      </w:r>
      <w:r>
        <w:rPr>
          <w:rFonts w:hint="eastAsia" w:ascii="Times New Roman" w:hAnsi="Times New Roman" w:cs="Times New Roman"/>
          <w:color w:val="000000" w:themeColor="text1"/>
        </w:rPr>
        <w:t>3</w:t>
      </w:r>
      <w:r>
        <w:rPr>
          <w:rFonts w:ascii="Times New Roman" w:hAnsi="Times New Roman" w:cs="Times New Roman"/>
          <w:color w:val="000000" w:themeColor="text1"/>
        </w:rPr>
        <w:t>0m，</w:t>
      </w:r>
      <w:r>
        <w:rPr>
          <w:rFonts w:hint="eastAsia" w:ascii="Times New Roman" w:hAnsi="Times New Roman" w:cs="Times New Roman"/>
          <w:color w:val="000000" w:themeColor="text1"/>
        </w:rPr>
        <w:t>草</w:t>
      </w:r>
      <w:r>
        <w:rPr>
          <w:rFonts w:ascii="Times New Roman" w:hAnsi="Times New Roman" w:cs="Times New Roman"/>
          <w:color w:val="000000" w:themeColor="text1"/>
        </w:rPr>
        <w:t>地剥离厚度为0.30m，采用推土机对本项目区表层土壤进行表土剥离工作。使用挖掘机和自卸汽车对剥离的表土进行运输。</w:t>
      </w:r>
    </w:p>
    <w:p w14:paraId="03C6D662">
      <w:pPr>
        <w:pStyle w:val="178"/>
        <w:topLinePunct/>
        <w:rPr>
          <w:rFonts w:ascii="Times New Roman" w:hAnsi="Times New Roman" w:cs="Times New Roman"/>
          <w:color w:val="000000" w:themeColor="text1"/>
        </w:rPr>
      </w:pPr>
      <w:r>
        <w:rPr>
          <w:rFonts w:ascii="Times New Roman" w:hAnsi="Times New Roman" w:cs="Times New Roman"/>
          <w:color w:val="000000" w:themeColor="text1"/>
        </w:rPr>
        <w:t>2、排土场拦挡</w:t>
      </w:r>
    </w:p>
    <w:p w14:paraId="4D309D58">
      <w:pPr>
        <w:pStyle w:val="178"/>
        <w:topLinePunct/>
        <w:rPr>
          <w:rFonts w:ascii="Times New Roman" w:hAnsi="Times New Roman" w:cs="Times New Roman"/>
          <w:color w:val="000000" w:themeColor="text1"/>
        </w:rPr>
      </w:pPr>
      <w:r>
        <w:rPr>
          <w:rFonts w:ascii="Times New Roman" w:hAnsi="Times New Roman" w:cs="Times New Roman"/>
          <w:color w:val="000000" w:themeColor="text1"/>
        </w:rPr>
        <w:t>排土场表土长期堆存，容易造成水土流失，为防止本项目剥离表土的流失，本方案设计开采过程中在堆存表土的坡脚处修建石笼挡墙措施，本次的拦挡主要以防为主。修建石笼挡墙的结构采取钢筋骨架结构，采用直径8-12mm钢筋焊接而成，每块石笼网片尺寸为3m×0.6m×1m（长×宽×高），石笼内所填石块来源于矿山废石。在组装石笼过程中，对石笼用14#铁丝绑扎，控制石笼绑扎间距，绑扎间距宽度不能超过35cm。挡墙为台阶式，地面以上为两级台阶，上面台阶高、宽都是1m，下面台阶高、宽都是1.5m。地面以下基础埋深0.5m、宽1.5m，底部为砂砾石。石笼挡墙设计断面图见图4-1</w:t>
      </w:r>
    </w:p>
    <w:p w14:paraId="39484CA8">
      <w:pPr>
        <w:pStyle w:val="178"/>
        <w:topLinePunct/>
        <w:ind w:firstLine="0" w:firstLineChars="0"/>
        <w:jc w:val="center"/>
        <w:rPr>
          <w:rFonts w:ascii="Times New Roman" w:hAnsi="Times New Roman" w:cs="Times New Roman"/>
          <w:color w:val="000000" w:themeColor="text1"/>
        </w:rPr>
      </w:pPr>
      <w:r>
        <w:rPr>
          <w:rFonts w:ascii="Times New Roman" w:hAnsi="Times New Roman" w:cs="Times New Roman"/>
          <w:color w:val="000000" w:themeColor="text1"/>
        </w:rPr>
        <w:drawing>
          <wp:inline distT="0" distB="0" distL="0" distR="0">
            <wp:extent cx="2000250" cy="2301240"/>
            <wp:effectExtent l="0" t="0" r="0" b="3810"/>
            <wp:docPr id="1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4.jpeg"/>
                    <pic:cNvPicPr>
                      <a:picLocks noChangeAspect="1"/>
                    </pic:cNvPicPr>
                  </pic:nvPicPr>
                  <pic:blipFill>
                    <a:blip r:embed="rId21" cstate="print"/>
                    <a:stretch>
                      <a:fillRect/>
                    </a:stretch>
                  </pic:blipFill>
                  <pic:spPr>
                    <a:xfrm>
                      <a:off x="0" y="0"/>
                      <a:ext cx="2002782" cy="2304411"/>
                    </a:xfrm>
                    <a:prstGeom prst="rect">
                      <a:avLst/>
                    </a:prstGeom>
                  </pic:spPr>
                </pic:pic>
              </a:graphicData>
            </a:graphic>
          </wp:inline>
        </w:drawing>
      </w:r>
    </w:p>
    <w:p w14:paraId="1002B9B0">
      <w:pPr>
        <w:pStyle w:val="182"/>
        <w:topLinePunct/>
        <w:ind w:firstLine="0" w:firstLineChars="0"/>
        <w:rPr>
          <w:rFonts w:ascii="Times New Roman" w:hAnsi="Times New Roman"/>
          <w:color w:val="000000" w:themeColor="text1"/>
        </w:rPr>
      </w:pPr>
      <w:r>
        <w:rPr>
          <w:rFonts w:ascii="Times New Roman" w:hAnsi="Times New Roman"/>
          <w:color w:val="000000" w:themeColor="text1"/>
        </w:rPr>
        <w:t>图-1石笼挡土墙断面典型设计图</w:t>
      </w:r>
    </w:p>
    <w:p w14:paraId="48E0F5B8">
      <w:pPr>
        <w:pStyle w:val="178"/>
        <w:topLinePunct/>
        <w:rPr>
          <w:rFonts w:ascii="Times New Roman" w:hAnsi="Times New Roman" w:cs="Times New Roman"/>
          <w:color w:val="000000" w:themeColor="text1"/>
        </w:rPr>
      </w:pPr>
      <w:r>
        <w:rPr>
          <w:rFonts w:ascii="Times New Roman" w:hAnsi="Times New Roman" w:cs="Times New Roman"/>
          <w:color w:val="000000" w:themeColor="text1"/>
        </w:rPr>
        <w:t>3、边坡修整：露天采场开采过程中，及时清理最终边坡处的浮石和危石，使边坡齐整，防止边坡处产生崩塌灾害，清除的危石量在附近的坑底或平台处就近平整，运距＜20m。施工方法主要为人工进行撬移、解小、翻渣、清面等，修整的浮石量采用74kw推土机运输的方式就近平整。</w:t>
      </w:r>
    </w:p>
    <w:p w14:paraId="37B87869">
      <w:pPr>
        <w:pStyle w:val="178"/>
        <w:topLinePunct/>
        <w:rPr>
          <w:rFonts w:ascii="Times New Roman" w:hAnsi="Times New Roman" w:cs="Times New Roman"/>
          <w:color w:val="000000" w:themeColor="text1"/>
        </w:rPr>
      </w:pPr>
      <w:r>
        <w:rPr>
          <w:rFonts w:ascii="Times New Roman" w:hAnsi="Times New Roman" w:cs="Times New Roman"/>
          <w:color w:val="000000" w:themeColor="text1"/>
        </w:rPr>
        <w:t>4、地面清理平整：采用74KW推土机对破坏区场地进行地面清理平整，削高垫低，使地面平坦，清理平整平均厚度为0.10m，方便生态修复工程的实施。</w:t>
      </w:r>
    </w:p>
    <w:p w14:paraId="4C457A03">
      <w:pPr>
        <w:pStyle w:val="178"/>
        <w:topLinePunct/>
        <w:rPr>
          <w:rFonts w:ascii="Times New Roman" w:hAnsi="Times New Roman" w:cs="Times New Roman"/>
          <w:color w:val="000000" w:themeColor="text1"/>
        </w:rPr>
      </w:pPr>
      <w:r>
        <w:rPr>
          <w:rFonts w:ascii="Times New Roman" w:hAnsi="Times New Roman" w:cs="Times New Roman"/>
          <w:color w:val="000000" w:themeColor="text1"/>
        </w:rPr>
        <w:t>5、表土回覆：地面清理平整后，对修复区</w:t>
      </w:r>
      <w:r>
        <w:rPr>
          <w:rFonts w:hint="eastAsia" w:ascii="Times New Roman" w:hAnsi="Times New Roman" w:cs="Times New Roman"/>
          <w:color w:val="000000" w:themeColor="text1"/>
          <w:lang w:val="en-US" w:eastAsia="zh-CN"/>
        </w:rPr>
        <w:t>穴植乔木所有的表土采用运输回覆</w:t>
      </w:r>
      <w:r>
        <w:rPr>
          <w:rFonts w:ascii="Times New Roman" w:hAnsi="Times New Roman" w:cs="Times New Roman"/>
          <w:color w:val="000000" w:themeColor="text1"/>
        </w:rPr>
        <w:t>。</w:t>
      </w:r>
    </w:p>
    <w:p w14:paraId="20721518">
      <w:pPr>
        <w:pStyle w:val="178"/>
        <w:topLinePunct/>
        <w:rPr>
          <w:rFonts w:ascii="Times New Roman" w:hAnsi="Times New Roman" w:cs="Times New Roman"/>
          <w:color w:val="000000" w:themeColor="text1"/>
        </w:rPr>
      </w:pPr>
      <w:r>
        <w:rPr>
          <w:rFonts w:ascii="Times New Roman" w:hAnsi="Times New Roman" w:cs="Times New Roman"/>
          <w:color w:val="000000" w:themeColor="text1"/>
        </w:rPr>
        <w:t>6、栽植乔木：为尽快恢复当地生态环境，复垦乔木林地选取当地适生树种落叶松，树高0.6m。主要采用穴状整地，树穴规格（长*宽*高）为0.</w:t>
      </w:r>
      <w:r>
        <w:rPr>
          <w:rFonts w:hint="eastAsia" w:ascii="Times New Roman" w:hAnsi="Times New Roman" w:cs="Times New Roman"/>
          <w:color w:val="000000" w:themeColor="text1"/>
          <w:lang w:val="en-US" w:eastAsia="zh-CN"/>
        </w:rPr>
        <w:t>4</w:t>
      </w:r>
      <w:r>
        <w:rPr>
          <w:rFonts w:ascii="Times New Roman" w:hAnsi="Times New Roman" w:cs="Times New Roman"/>
          <w:color w:val="000000" w:themeColor="text1"/>
        </w:rPr>
        <w:t>m*0.</w:t>
      </w:r>
      <w:r>
        <w:rPr>
          <w:rFonts w:hint="eastAsia" w:ascii="Times New Roman" w:hAnsi="Times New Roman" w:cs="Times New Roman"/>
          <w:color w:val="000000" w:themeColor="text1"/>
          <w:lang w:val="en-US" w:eastAsia="zh-CN"/>
        </w:rPr>
        <w:t>4</w:t>
      </w:r>
      <w:r>
        <w:rPr>
          <w:rFonts w:ascii="Times New Roman" w:hAnsi="Times New Roman" w:cs="Times New Roman"/>
          <w:color w:val="000000" w:themeColor="text1"/>
        </w:rPr>
        <w:t>m*</w:t>
      </w:r>
      <w:r>
        <w:rPr>
          <w:rFonts w:hint="eastAsia" w:ascii="Times New Roman" w:hAnsi="Times New Roman" w:cs="Times New Roman"/>
          <w:color w:val="000000" w:themeColor="text1"/>
          <w:lang w:val="en-US" w:eastAsia="zh-CN"/>
        </w:rPr>
        <w:t>5</w:t>
      </w:r>
      <w:r>
        <w:rPr>
          <w:rFonts w:ascii="Times New Roman" w:hAnsi="Times New Roman" w:cs="Times New Roman"/>
          <w:color w:val="000000" w:themeColor="text1"/>
        </w:rPr>
        <w:t>m，为保持水土，防止侵蚀，株、行距2.0m×2.0m，种植密度应为2500穴/h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左右，植树切忌挖成锅底形或无规则形，使根系无法自然舒展。三年后植树成活率达85%以上，郁闭度60%以上，若管护期发现树木枯死，应及时补栽。根据当地特点，种植适合当地海拔高度、地形地质、气候及水文地质条件，易成活、耐旱并生长快的落叶松，本次主要选择栽植方法，苗木直立穴中，保持根系舒展，分层覆土，踏实。栽后灌透水，扶正苗木，填平陷穴。抚育管理：三年三次，每年人工穴内松土、除草一次，松土深5～10cm。第二年冬季开始平茬，以后每隔四年修剪一次，隔带交替进行。</w:t>
      </w:r>
    </w:p>
    <w:p w14:paraId="03E8E4D2">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lang w:val="en-US" w:eastAsia="zh-CN"/>
        </w:rPr>
        <w:t>7</w:t>
      </w:r>
      <w:r>
        <w:rPr>
          <w:rFonts w:ascii="Times New Roman" w:hAnsi="Times New Roman" w:cs="Times New Roman"/>
          <w:color w:val="000000" w:themeColor="text1"/>
        </w:rPr>
        <w:t>、栽植常春藤</w:t>
      </w:r>
    </w:p>
    <w:p w14:paraId="4959C64B">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矿区开采最终边坡角为 60°，在开采平台四周边坡坡脚栽植常春藤，本次设计采用采用植槽填土栽植，植槽宽0.</w:t>
      </w:r>
      <w:r>
        <w:rPr>
          <w:rFonts w:hint="eastAsia" w:ascii="Times New Roman" w:hAnsi="Times New Roman" w:cs="Times New Roman"/>
          <w:color w:val="000000" w:themeColor="text1"/>
          <w:lang w:val="en-US" w:eastAsia="zh-CN"/>
        </w:rPr>
        <w:t>3</w:t>
      </w:r>
      <w:r>
        <w:rPr>
          <w:rFonts w:ascii="Times New Roman" w:hAnsi="Times New Roman" w:cs="Times New Roman"/>
          <w:color w:val="000000" w:themeColor="text1"/>
        </w:rPr>
        <w:t>m、高0.</w:t>
      </w:r>
      <w:r>
        <w:rPr>
          <w:rFonts w:hint="eastAsia" w:ascii="Times New Roman" w:hAnsi="Times New Roman" w:cs="Times New Roman"/>
          <w:color w:val="000000" w:themeColor="text1"/>
          <w:lang w:val="en-US" w:eastAsia="zh-CN"/>
        </w:rPr>
        <w:t>3</w:t>
      </w:r>
      <w:r>
        <w:rPr>
          <w:rFonts w:ascii="Times New Roman" w:hAnsi="Times New Roman" w:cs="Times New Roman"/>
          <w:color w:val="000000" w:themeColor="text1"/>
        </w:rPr>
        <w:t>m，常春藤株距 0.5m，可在秋末或早春时栽植。栽植需保持土壤湿润，并遮阴养护。</w:t>
      </w:r>
    </w:p>
    <w:p w14:paraId="38C065F4">
      <w:pPr>
        <w:pStyle w:val="178"/>
        <w:topLinePunct/>
        <w:ind w:firstLine="0" w:firstLineChars="0"/>
        <w:jc w:val="center"/>
        <w:rPr>
          <w:rFonts w:ascii="Times New Roman" w:hAnsi="Times New Roman" w:cs="Times New Roman"/>
          <w:color w:val="000000" w:themeColor="text1"/>
        </w:rPr>
      </w:pPr>
      <w:r>
        <w:rPr>
          <w:rFonts w:ascii="Times New Roman" w:hAnsi="Times New Roman" w:cs="Times New Roman"/>
          <w:color w:val="000000" w:themeColor="text1"/>
        </w:rPr>
        <w:drawing>
          <wp:inline distT="0" distB="0" distL="114300" distR="114300">
            <wp:extent cx="5125720" cy="2999740"/>
            <wp:effectExtent l="0" t="0" r="17780" b="10160"/>
            <wp:docPr id="20" name="图片 20" descr="植物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植物 拷贝"/>
                    <pic:cNvPicPr>
                      <a:picLocks noChangeAspect="1"/>
                    </pic:cNvPicPr>
                  </pic:nvPicPr>
                  <pic:blipFill>
                    <a:blip r:embed="rId22"/>
                    <a:stretch>
                      <a:fillRect/>
                    </a:stretch>
                  </pic:blipFill>
                  <pic:spPr>
                    <a:xfrm>
                      <a:off x="0" y="0"/>
                      <a:ext cx="5125720" cy="2999740"/>
                    </a:xfrm>
                    <a:prstGeom prst="rect">
                      <a:avLst/>
                    </a:prstGeom>
                  </pic:spPr>
                </pic:pic>
              </a:graphicData>
            </a:graphic>
          </wp:inline>
        </w:drawing>
      </w:r>
    </w:p>
    <w:p w14:paraId="546F7B19">
      <w:pPr>
        <w:spacing w:line="360" w:lineRule="auto"/>
        <w:jc w:val="center"/>
        <w:rPr>
          <w:rFonts w:ascii="Times New Roman" w:hAnsi="Times New Roman" w:cs="Times New Roman"/>
          <w:b/>
          <w:bCs/>
          <w:color w:val="000000" w:themeColor="text1"/>
        </w:rPr>
      </w:pPr>
      <w:r>
        <w:rPr>
          <w:rFonts w:ascii="Times New Roman" w:hAnsi="Times New Roman" w:cs="Times New Roman"/>
          <w:b/>
          <w:color w:val="000000" w:themeColor="text1"/>
          <w:sz w:val="24"/>
          <w:szCs w:val="24"/>
        </w:rPr>
        <w:t>图4-2植被恢复措施设计图</w:t>
      </w:r>
    </w:p>
    <w:p w14:paraId="25426E26">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lang w:val="en-US" w:eastAsia="zh-CN"/>
        </w:rPr>
        <w:t>8</w:t>
      </w:r>
      <w:r>
        <w:rPr>
          <w:rFonts w:ascii="Times New Roman" w:hAnsi="Times New Roman" w:cs="Times New Roman"/>
          <w:color w:val="000000" w:themeColor="text1"/>
        </w:rPr>
        <w:t>、设立警示牌：为防止矿山附近农业生产人员误入采场从而引发危险，设计在在露天采场北东侧高陡边坡处设立警示牌，施工方法主要为人工安装。</w:t>
      </w:r>
    </w:p>
    <w:p w14:paraId="084260FD">
      <w:pPr>
        <w:adjustRightInd w:val="0"/>
        <w:snapToGrid w:val="0"/>
        <w:spacing w:line="360" w:lineRule="auto"/>
        <w:ind w:firstLine="480" w:firstLineChars="20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drawing>
          <wp:inline distT="0" distB="0" distL="114300" distR="114300">
            <wp:extent cx="1626235" cy="2774315"/>
            <wp:effectExtent l="0" t="0" r="12065" b="6985"/>
            <wp:docPr id="19" name="图片 19" descr="jingship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jingshipai"/>
                    <pic:cNvPicPr>
                      <a:picLocks noChangeAspect="1"/>
                    </pic:cNvPicPr>
                  </pic:nvPicPr>
                  <pic:blipFill>
                    <a:blip r:embed="rId23"/>
                    <a:stretch>
                      <a:fillRect/>
                    </a:stretch>
                  </pic:blipFill>
                  <pic:spPr>
                    <a:xfrm>
                      <a:off x="0" y="0"/>
                      <a:ext cx="1626235" cy="2774315"/>
                    </a:xfrm>
                    <a:prstGeom prst="rect">
                      <a:avLst/>
                    </a:prstGeom>
                  </pic:spPr>
                </pic:pic>
              </a:graphicData>
            </a:graphic>
          </wp:inline>
        </w:drawing>
      </w:r>
    </w:p>
    <w:p w14:paraId="3D7881AD">
      <w:pPr>
        <w:spacing w:line="360" w:lineRule="auto"/>
        <w:jc w:val="center"/>
        <w:rPr>
          <w:rFonts w:ascii="Times New Roman" w:hAnsi="Times New Roman" w:cs="Times New Roman"/>
          <w:b/>
          <w:bCs/>
          <w:color w:val="000000" w:themeColor="text1"/>
        </w:rPr>
      </w:pPr>
      <w:r>
        <w:rPr>
          <w:rFonts w:ascii="Times New Roman" w:hAnsi="Times New Roman" w:cs="Times New Roman"/>
          <w:b/>
          <w:color w:val="000000" w:themeColor="text1"/>
          <w:sz w:val="24"/>
          <w:szCs w:val="24"/>
        </w:rPr>
        <w:t>图4-3 典型警示牌设计图</w:t>
      </w:r>
    </w:p>
    <w:p w14:paraId="6106F26B">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lang w:val="en-US" w:eastAsia="zh-CN"/>
        </w:rPr>
        <w:t>9</w:t>
      </w:r>
      <w:r>
        <w:rPr>
          <w:rFonts w:ascii="Times New Roman" w:hAnsi="Times New Roman" w:cs="Times New Roman"/>
          <w:color w:val="000000" w:themeColor="text1"/>
        </w:rPr>
        <w:t>、开挖汇水渠：为防止坑底汇水，不利于植被生长，在坑底周围开挖汇水渠，使汇水渠标高低于坑底标高。修筑梯形汇水渠，设计断面尺寸顶宽×高×底宽为1.5m×1.0m×0.5m。设计汇水渠宽度不大，可利用树间位置修建，渠内汇水作为浇灌树木用水。建设集水、蓄水等功能于一体的雨水收集系统，有效利用降水资源，满足矿区植被用水需求。</w:t>
      </w:r>
    </w:p>
    <w:p w14:paraId="3510E258">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（二）主要工程量</w:t>
      </w:r>
    </w:p>
    <w:p w14:paraId="087175EE">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根据修复措施工程设计，测算汇总工程量见表4-6。</w:t>
      </w:r>
    </w:p>
    <w:p w14:paraId="393266DE">
      <w:pPr>
        <w:pStyle w:val="182"/>
        <w:widowControl w:val="0"/>
        <w:topLinePunct/>
        <w:ind w:firstLine="0" w:firstLineChars="0"/>
        <w:rPr>
          <w:rFonts w:ascii="Times New Roman" w:hAnsi="Times New Roman"/>
          <w:color w:val="E36C09" w:themeColor="accent6" w:themeShade="BF"/>
        </w:rPr>
      </w:pPr>
      <w:r>
        <w:rPr>
          <w:rFonts w:ascii="Times New Roman" w:hAnsi="Times New Roman"/>
          <w:color w:val="E36C09" w:themeColor="accent6" w:themeShade="BF"/>
        </w:rPr>
        <w:t>表4-6 生态修复工程量统计表</w:t>
      </w:r>
    </w:p>
    <w:tbl>
      <w:tblPr>
        <w:tblStyle w:val="185"/>
        <w:tblW w:w="5000"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237"/>
        <w:gridCol w:w="3069"/>
        <w:gridCol w:w="2862"/>
        <w:gridCol w:w="1652"/>
      </w:tblGrid>
      <w:tr w14:paraId="364647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1245" w:type="dxa"/>
            <w:tcBorders>
              <w:tl2br w:val="nil"/>
              <w:tr2bl w:val="nil"/>
            </w:tcBorders>
            <w:vAlign w:val="center"/>
          </w:tcPr>
          <w:p w14:paraId="1B9530C4">
            <w:pPr>
              <w:snapToGrid w:val="0"/>
              <w:spacing w:line="240" w:lineRule="auto"/>
              <w:jc w:val="center"/>
              <w:rPr>
                <w:rFonts w:ascii="Times New Roman" w:hAnsi="Times New Roman" w:cs="Times New Roman" w:eastAsiaTheme="minorEastAsia"/>
                <w:b/>
                <w:color w:val="E36C09" w:themeColor="accent6" w:themeShade="BF"/>
                <w:kern w:val="0"/>
                <w:sz w:val="24"/>
                <w:szCs w:val="24"/>
                <w:lang w:eastAsia="en-US"/>
              </w:rPr>
            </w:pPr>
            <w:r>
              <w:rPr>
                <w:rFonts w:ascii="Times New Roman" w:hAnsi="Times New Roman" w:cs="Times New Roman" w:eastAsiaTheme="minorEastAsia"/>
                <w:b/>
                <w:color w:val="E36C09" w:themeColor="accent6" w:themeShade="BF"/>
                <w:kern w:val="0"/>
                <w:sz w:val="24"/>
                <w:szCs w:val="24"/>
                <w:lang w:eastAsia="en-US"/>
              </w:rPr>
              <w:t>序号</w:t>
            </w:r>
          </w:p>
        </w:tc>
        <w:tc>
          <w:tcPr>
            <w:tcW w:w="3090" w:type="dxa"/>
            <w:tcBorders>
              <w:tl2br w:val="nil"/>
              <w:tr2bl w:val="nil"/>
            </w:tcBorders>
            <w:vAlign w:val="center"/>
          </w:tcPr>
          <w:p w14:paraId="177703FF">
            <w:pPr>
              <w:snapToGrid w:val="0"/>
              <w:spacing w:line="240" w:lineRule="auto"/>
              <w:jc w:val="center"/>
              <w:rPr>
                <w:rFonts w:ascii="Times New Roman" w:hAnsi="Times New Roman" w:cs="Times New Roman" w:eastAsiaTheme="minorEastAsia"/>
                <w:b/>
                <w:color w:val="E36C09" w:themeColor="accent6" w:themeShade="BF"/>
                <w:kern w:val="0"/>
                <w:sz w:val="24"/>
                <w:szCs w:val="24"/>
                <w:lang w:eastAsia="en-US"/>
              </w:rPr>
            </w:pPr>
            <w:r>
              <w:rPr>
                <w:rFonts w:ascii="Times New Roman" w:hAnsi="Times New Roman" w:cs="Times New Roman" w:eastAsiaTheme="minorEastAsia"/>
                <w:b/>
                <w:color w:val="E36C09" w:themeColor="accent6" w:themeShade="BF"/>
                <w:kern w:val="0"/>
                <w:sz w:val="24"/>
                <w:szCs w:val="24"/>
                <w:lang w:eastAsia="en-US"/>
              </w:rPr>
              <w:t>工程名称</w:t>
            </w:r>
          </w:p>
        </w:tc>
        <w:tc>
          <w:tcPr>
            <w:tcW w:w="2882" w:type="dxa"/>
            <w:tcBorders>
              <w:tl2br w:val="nil"/>
              <w:tr2bl w:val="nil"/>
            </w:tcBorders>
            <w:vAlign w:val="center"/>
          </w:tcPr>
          <w:p w14:paraId="77CC6B49">
            <w:pPr>
              <w:snapToGrid w:val="0"/>
              <w:spacing w:line="240" w:lineRule="auto"/>
              <w:jc w:val="center"/>
              <w:rPr>
                <w:rFonts w:ascii="Times New Roman" w:hAnsi="Times New Roman" w:cs="Times New Roman" w:eastAsiaTheme="minorEastAsia"/>
                <w:b/>
                <w:color w:val="E36C09" w:themeColor="accent6" w:themeShade="BF"/>
                <w:kern w:val="0"/>
                <w:sz w:val="24"/>
                <w:szCs w:val="24"/>
                <w:lang w:eastAsia="en-US"/>
              </w:rPr>
            </w:pPr>
            <w:r>
              <w:rPr>
                <w:rFonts w:ascii="Times New Roman" w:hAnsi="Times New Roman" w:cs="Times New Roman" w:eastAsiaTheme="minorEastAsia"/>
                <w:b/>
                <w:color w:val="E36C09" w:themeColor="accent6" w:themeShade="BF"/>
                <w:kern w:val="0"/>
                <w:sz w:val="24"/>
                <w:szCs w:val="24"/>
                <w:lang w:eastAsia="en-US"/>
              </w:rPr>
              <w:t>计算单位</w:t>
            </w:r>
          </w:p>
        </w:tc>
        <w:tc>
          <w:tcPr>
            <w:tcW w:w="1663" w:type="dxa"/>
            <w:tcBorders>
              <w:tl2br w:val="nil"/>
              <w:tr2bl w:val="nil"/>
            </w:tcBorders>
            <w:vAlign w:val="center"/>
          </w:tcPr>
          <w:p w14:paraId="78DCC347">
            <w:pPr>
              <w:snapToGrid w:val="0"/>
              <w:spacing w:line="240" w:lineRule="auto"/>
              <w:jc w:val="center"/>
              <w:rPr>
                <w:rFonts w:ascii="Times New Roman" w:hAnsi="Times New Roman" w:cs="Times New Roman" w:eastAsiaTheme="minorEastAsia"/>
                <w:b/>
                <w:color w:val="E36C09" w:themeColor="accent6" w:themeShade="BF"/>
                <w:kern w:val="0"/>
                <w:sz w:val="24"/>
                <w:szCs w:val="24"/>
                <w:lang w:eastAsia="en-US"/>
              </w:rPr>
            </w:pPr>
            <w:r>
              <w:rPr>
                <w:rFonts w:ascii="Times New Roman" w:hAnsi="Times New Roman" w:cs="Times New Roman" w:eastAsiaTheme="minorEastAsia"/>
                <w:b/>
                <w:color w:val="E36C09" w:themeColor="accent6" w:themeShade="BF"/>
                <w:kern w:val="0"/>
                <w:sz w:val="24"/>
                <w:szCs w:val="24"/>
                <w:lang w:eastAsia="en-US"/>
              </w:rPr>
              <w:t>工程量</w:t>
            </w:r>
          </w:p>
        </w:tc>
      </w:tr>
      <w:tr w14:paraId="2269BCE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shd w:val="clear" w:color="auto" w:fill="auto"/>
            <w:vAlign w:val="center"/>
          </w:tcPr>
          <w:p w14:paraId="1FB69F4D">
            <w:pPr>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r>
              <w:rPr>
                <w:rFonts w:ascii="Times New Roman" w:hAnsi="Times New Roman" w:cs="Times New Roman" w:eastAsiaTheme="minorEastAsia"/>
                <w:color w:val="E36C09" w:themeColor="accent6" w:themeShade="BF"/>
                <w:kern w:val="0"/>
                <w:sz w:val="24"/>
                <w:szCs w:val="24"/>
                <w:lang w:eastAsia="en-US"/>
              </w:rPr>
              <w:t>（一）</w:t>
            </w:r>
          </w:p>
        </w:tc>
        <w:tc>
          <w:tcPr>
            <w:tcW w:w="3090" w:type="dxa"/>
            <w:tcBorders>
              <w:tl2br w:val="nil"/>
              <w:tr2bl w:val="nil"/>
            </w:tcBorders>
            <w:vAlign w:val="center"/>
          </w:tcPr>
          <w:p w14:paraId="16FFE90A">
            <w:pPr>
              <w:pStyle w:val="156"/>
              <w:snapToGrid w:val="0"/>
              <w:spacing w:line="240" w:lineRule="auto"/>
              <w:ind w:left="110"/>
              <w:jc w:val="center"/>
              <w:rPr>
                <w:rFonts w:eastAsiaTheme="minorEastAsia"/>
                <w:color w:val="E36C09" w:themeColor="accent6" w:themeShade="BF"/>
                <w:lang w:eastAsia="zh-CN"/>
              </w:rPr>
            </w:pPr>
            <w:r>
              <w:rPr>
                <w:rFonts w:eastAsiaTheme="minorEastAsia"/>
                <w:color w:val="E36C09" w:themeColor="accent6" w:themeShade="BF"/>
                <w:lang w:eastAsia="zh-CN"/>
              </w:rPr>
              <w:t>表土剥离与植被移植利用</w:t>
            </w:r>
          </w:p>
        </w:tc>
        <w:tc>
          <w:tcPr>
            <w:tcW w:w="2882" w:type="dxa"/>
            <w:tcBorders>
              <w:tl2br w:val="nil"/>
              <w:tr2bl w:val="nil"/>
            </w:tcBorders>
            <w:vAlign w:val="center"/>
          </w:tcPr>
          <w:p w14:paraId="6C9F89E7">
            <w:pPr>
              <w:snapToGrid w:val="0"/>
              <w:spacing w:line="240" w:lineRule="auto"/>
              <w:jc w:val="center"/>
              <w:rPr>
                <w:rFonts w:ascii="Times New Roman" w:hAnsi="Times New Roman" w:cs="Times New Roman" w:eastAsiaTheme="minorEastAsia"/>
                <w:color w:val="E36C09" w:themeColor="accent6" w:themeShade="BF"/>
                <w:kern w:val="0"/>
                <w:sz w:val="24"/>
                <w:szCs w:val="24"/>
                <w:lang w:eastAsia="zh-CN"/>
              </w:rPr>
            </w:pPr>
          </w:p>
        </w:tc>
        <w:tc>
          <w:tcPr>
            <w:tcW w:w="1663" w:type="dxa"/>
            <w:tcBorders>
              <w:tl2br w:val="nil"/>
              <w:tr2bl w:val="nil"/>
            </w:tcBorders>
            <w:vAlign w:val="center"/>
          </w:tcPr>
          <w:p w14:paraId="16F92B59">
            <w:pPr>
              <w:pStyle w:val="156"/>
              <w:snapToGrid w:val="0"/>
              <w:spacing w:line="240" w:lineRule="auto"/>
              <w:ind w:left="110"/>
              <w:jc w:val="center"/>
              <w:rPr>
                <w:rFonts w:eastAsiaTheme="minorEastAsia"/>
                <w:color w:val="E36C09" w:themeColor="accent6" w:themeShade="BF"/>
                <w:lang w:eastAsia="zh-CN"/>
              </w:rPr>
            </w:pPr>
          </w:p>
        </w:tc>
      </w:tr>
      <w:tr w14:paraId="70E8030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20" w:hRule="atLeast"/>
        </w:trPr>
        <w:tc>
          <w:tcPr>
            <w:tcW w:w="1245" w:type="dxa"/>
            <w:tcBorders>
              <w:tl2br w:val="nil"/>
              <w:tr2bl w:val="nil"/>
            </w:tcBorders>
            <w:vAlign w:val="center"/>
          </w:tcPr>
          <w:p w14:paraId="5EF7280A">
            <w:pPr>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r>
              <w:rPr>
                <w:rFonts w:ascii="Times New Roman" w:hAnsi="Times New Roman" w:cs="Times New Roman" w:eastAsiaTheme="minorEastAsia"/>
                <w:color w:val="E36C09" w:themeColor="accent6" w:themeShade="BF"/>
                <w:kern w:val="0"/>
                <w:sz w:val="24"/>
                <w:szCs w:val="24"/>
                <w:lang w:eastAsia="en-US"/>
              </w:rPr>
              <w:t>1</w:t>
            </w:r>
          </w:p>
        </w:tc>
        <w:tc>
          <w:tcPr>
            <w:tcW w:w="3090" w:type="dxa"/>
            <w:tcBorders>
              <w:tl2br w:val="nil"/>
              <w:tr2bl w:val="nil"/>
            </w:tcBorders>
            <w:vAlign w:val="center"/>
          </w:tcPr>
          <w:p w14:paraId="7985C004">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表土剥离工程</w:t>
            </w:r>
          </w:p>
        </w:tc>
        <w:tc>
          <w:tcPr>
            <w:tcW w:w="2882" w:type="dxa"/>
            <w:tcBorders>
              <w:tl2br w:val="nil"/>
              <w:tr2bl w:val="nil"/>
            </w:tcBorders>
            <w:vAlign w:val="center"/>
          </w:tcPr>
          <w:p w14:paraId="462C7A3D">
            <w:pPr>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p>
        </w:tc>
        <w:tc>
          <w:tcPr>
            <w:tcW w:w="1663" w:type="dxa"/>
            <w:tcBorders>
              <w:tl2br w:val="nil"/>
              <w:tr2bl w:val="nil"/>
            </w:tcBorders>
            <w:vAlign w:val="center"/>
          </w:tcPr>
          <w:p w14:paraId="7EE82D5A">
            <w:pPr>
              <w:pStyle w:val="156"/>
              <w:snapToGrid w:val="0"/>
              <w:spacing w:line="240" w:lineRule="auto"/>
              <w:ind w:left="110"/>
              <w:jc w:val="center"/>
              <w:rPr>
                <w:rFonts w:eastAsiaTheme="minorEastAsia"/>
                <w:color w:val="E36C09" w:themeColor="accent6" w:themeShade="BF"/>
                <w:lang w:eastAsia="en-US"/>
              </w:rPr>
            </w:pPr>
          </w:p>
        </w:tc>
      </w:tr>
      <w:tr w14:paraId="14A04A0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vAlign w:val="center"/>
          </w:tcPr>
          <w:p w14:paraId="3A805D26">
            <w:pPr>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r>
              <w:rPr>
                <w:rFonts w:ascii="Times New Roman" w:hAnsi="Times New Roman" w:cs="Times New Roman" w:eastAsiaTheme="minorEastAsia"/>
                <w:color w:val="E36C09" w:themeColor="accent6" w:themeShade="BF"/>
                <w:kern w:val="0"/>
                <w:sz w:val="24"/>
                <w:szCs w:val="24"/>
                <w:lang w:eastAsia="en-US"/>
              </w:rPr>
              <w:t>（1）</w:t>
            </w:r>
          </w:p>
        </w:tc>
        <w:tc>
          <w:tcPr>
            <w:tcW w:w="3090" w:type="dxa"/>
            <w:tcBorders>
              <w:tl2br w:val="nil"/>
              <w:tr2bl w:val="nil"/>
            </w:tcBorders>
            <w:vAlign w:val="center"/>
          </w:tcPr>
          <w:p w14:paraId="76693F22">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表土剥离</w:t>
            </w:r>
          </w:p>
        </w:tc>
        <w:tc>
          <w:tcPr>
            <w:tcW w:w="2882" w:type="dxa"/>
            <w:tcBorders>
              <w:tl2br w:val="nil"/>
              <w:tr2bl w:val="nil"/>
            </w:tcBorders>
            <w:vAlign w:val="center"/>
          </w:tcPr>
          <w:p w14:paraId="45BC7FF7">
            <w:pPr>
              <w:snapToGrid w:val="0"/>
              <w:spacing w:line="240" w:lineRule="auto"/>
              <w:jc w:val="center"/>
              <w:rPr>
                <w:rFonts w:hint="eastAsia" w:ascii="Times New Roman" w:hAnsi="Times New Roman" w:cs="Times New Roman" w:eastAsiaTheme="minorEastAsia"/>
                <w:color w:val="E36C09" w:themeColor="accent6" w:themeShade="BF"/>
                <w:kern w:val="0"/>
                <w:sz w:val="24"/>
                <w:szCs w:val="24"/>
                <w:lang w:eastAsia="zh-CN"/>
              </w:rPr>
            </w:pPr>
            <w:r>
              <w:rPr>
                <w:rFonts w:hint="eastAsia" w:ascii="Times New Roman" w:hAnsi="Times New Roman" w:cs="Times New Roman" w:eastAsiaTheme="minorEastAsia"/>
                <w:color w:val="E36C09" w:themeColor="accent6" w:themeShade="BF"/>
                <w:kern w:val="0"/>
                <w:sz w:val="24"/>
                <w:szCs w:val="24"/>
                <w:lang w:eastAsia="zh-CN"/>
              </w:rPr>
              <w:t>m</w:t>
            </w:r>
            <w:r>
              <w:rPr>
                <w:rFonts w:hint="eastAsia" w:ascii="Times New Roman" w:hAnsi="Times New Roman" w:cs="Times New Roman" w:eastAsiaTheme="minorEastAsia"/>
                <w:strike w:val="0"/>
                <w:dstrike w:val="0"/>
                <w:color w:val="E36C09" w:themeColor="accent6" w:themeShade="BF"/>
                <w:kern w:val="0"/>
                <w:sz w:val="24"/>
                <w:szCs w:val="24"/>
                <w:vertAlign w:val="superscript"/>
                <w:lang w:eastAsia="zh-CN"/>
              </w:rPr>
              <w:t>3</w:t>
            </w:r>
          </w:p>
        </w:tc>
        <w:tc>
          <w:tcPr>
            <w:tcW w:w="1663" w:type="dxa"/>
            <w:tcBorders>
              <w:tl2br w:val="nil"/>
              <w:tr2bl w:val="nil"/>
            </w:tcBorders>
            <w:vAlign w:val="center"/>
          </w:tcPr>
          <w:p w14:paraId="6CEC30E4">
            <w:pPr>
              <w:pStyle w:val="156"/>
              <w:snapToGrid w:val="0"/>
              <w:spacing w:line="240" w:lineRule="auto"/>
              <w:ind w:left="110"/>
              <w:jc w:val="center"/>
              <w:rPr>
                <w:rFonts w:eastAsiaTheme="minorEastAsia"/>
                <w:color w:val="E36C09" w:themeColor="accent6" w:themeShade="BF"/>
                <w:lang w:eastAsia="en-US"/>
              </w:rPr>
            </w:pPr>
            <w:r>
              <w:rPr>
                <w:rFonts w:hint="eastAsia" w:eastAsiaTheme="minorEastAsia"/>
                <w:color w:val="E36C09" w:themeColor="accent6" w:themeShade="BF"/>
                <w:lang w:eastAsia="en-US"/>
              </w:rPr>
              <w:t>2700</w:t>
            </w:r>
          </w:p>
        </w:tc>
      </w:tr>
      <w:tr w14:paraId="64DC310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vAlign w:val="center"/>
          </w:tcPr>
          <w:p w14:paraId="3853416E">
            <w:pPr>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r>
              <w:rPr>
                <w:rFonts w:ascii="Times New Roman" w:hAnsi="Times New Roman" w:cs="Times New Roman" w:eastAsiaTheme="minorEastAsia"/>
                <w:color w:val="E36C09" w:themeColor="accent6" w:themeShade="BF"/>
                <w:kern w:val="0"/>
                <w:sz w:val="24"/>
                <w:szCs w:val="24"/>
                <w:lang w:eastAsia="en-US"/>
              </w:rPr>
              <w:t>2</w:t>
            </w:r>
          </w:p>
        </w:tc>
        <w:tc>
          <w:tcPr>
            <w:tcW w:w="3090" w:type="dxa"/>
            <w:tcBorders>
              <w:tl2br w:val="nil"/>
              <w:tr2bl w:val="nil"/>
            </w:tcBorders>
            <w:vAlign w:val="center"/>
          </w:tcPr>
          <w:p w14:paraId="696F3139">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表土管护工程</w:t>
            </w:r>
          </w:p>
        </w:tc>
        <w:tc>
          <w:tcPr>
            <w:tcW w:w="2882" w:type="dxa"/>
            <w:tcBorders>
              <w:tl2br w:val="nil"/>
              <w:tr2bl w:val="nil"/>
            </w:tcBorders>
            <w:vAlign w:val="center"/>
          </w:tcPr>
          <w:p w14:paraId="4181EFE6">
            <w:pPr>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p>
        </w:tc>
        <w:tc>
          <w:tcPr>
            <w:tcW w:w="1663" w:type="dxa"/>
            <w:tcBorders>
              <w:tl2br w:val="nil"/>
              <w:tr2bl w:val="nil"/>
            </w:tcBorders>
            <w:vAlign w:val="center"/>
          </w:tcPr>
          <w:p w14:paraId="5FCA31C2">
            <w:pPr>
              <w:pStyle w:val="156"/>
              <w:snapToGrid w:val="0"/>
              <w:spacing w:line="240" w:lineRule="auto"/>
              <w:ind w:left="110"/>
              <w:jc w:val="center"/>
              <w:rPr>
                <w:rFonts w:eastAsiaTheme="minorEastAsia"/>
                <w:color w:val="E36C09" w:themeColor="accent6" w:themeShade="BF"/>
                <w:lang w:eastAsia="en-US"/>
              </w:rPr>
            </w:pPr>
          </w:p>
        </w:tc>
      </w:tr>
      <w:tr w14:paraId="21F8118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vAlign w:val="center"/>
          </w:tcPr>
          <w:p w14:paraId="0BFC9526">
            <w:pPr>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r>
              <w:rPr>
                <w:rFonts w:ascii="Times New Roman" w:hAnsi="Times New Roman" w:cs="Times New Roman" w:eastAsiaTheme="minorEastAsia"/>
                <w:color w:val="E36C09" w:themeColor="accent6" w:themeShade="BF"/>
                <w:kern w:val="0"/>
                <w:sz w:val="24"/>
                <w:szCs w:val="24"/>
                <w:lang w:eastAsia="en-US"/>
              </w:rPr>
              <w:t>（1）</w:t>
            </w:r>
          </w:p>
        </w:tc>
        <w:tc>
          <w:tcPr>
            <w:tcW w:w="3090" w:type="dxa"/>
            <w:tcBorders>
              <w:tl2br w:val="nil"/>
              <w:tr2bl w:val="nil"/>
            </w:tcBorders>
            <w:vAlign w:val="center"/>
          </w:tcPr>
          <w:p w14:paraId="0E4651A5">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撒播种草</w:t>
            </w:r>
          </w:p>
        </w:tc>
        <w:tc>
          <w:tcPr>
            <w:tcW w:w="2882" w:type="dxa"/>
            <w:tcBorders>
              <w:tl2br w:val="nil"/>
              <w:tr2bl w:val="nil"/>
            </w:tcBorders>
            <w:vAlign w:val="center"/>
          </w:tcPr>
          <w:p w14:paraId="28BD99FF">
            <w:pPr>
              <w:snapToGrid w:val="0"/>
              <w:spacing w:line="240" w:lineRule="auto"/>
              <w:jc w:val="center"/>
              <w:rPr>
                <w:rFonts w:hint="eastAsia" w:ascii="Times New Roman" w:hAnsi="Times New Roman" w:cs="Times New Roman" w:eastAsiaTheme="minorEastAsia"/>
                <w:color w:val="E36C09" w:themeColor="accent6" w:themeShade="BF"/>
                <w:kern w:val="0"/>
                <w:sz w:val="24"/>
                <w:szCs w:val="24"/>
                <w:lang w:eastAsia="zh-CN"/>
              </w:rPr>
            </w:pPr>
            <w:r>
              <w:rPr>
                <w:rFonts w:ascii="Times New Roman" w:hAnsi="Times New Roman" w:cs="Times New Roman" w:eastAsiaTheme="minorEastAsia"/>
                <w:color w:val="E36C09" w:themeColor="accent6" w:themeShade="BF"/>
                <w:kern w:val="0"/>
                <w:sz w:val="24"/>
                <w:szCs w:val="24"/>
                <w:lang w:eastAsia="en-US"/>
              </w:rPr>
              <w:t>h</w:t>
            </w:r>
            <w:r>
              <w:rPr>
                <w:rFonts w:hint="eastAsia" w:ascii="Times New Roman" w:hAnsi="Times New Roman" w:cs="Times New Roman" w:eastAsiaTheme="minorEastAsia"/>
                <w:color w:val="E36C09" w:themeColor="accent6" w:themeShade="BF"/>
                <w:kern w:val="0"/>
                <w:sz w:val="24"/>
                <w:szCs w:val="24"/>
                <w:lang w:eastAsia="zh-CN"/>
              </w:rPr>
              <w:t>m</w:t>
            </w:r>
            <w:r>
              <w:rPr>
                <w:rFonts w:hint="eastAsia" w:ascii="Times New Roman" w:hAnsi="Times New Roman" w:cs="Times New Roman" w:eastAsiaTheme="minorEastAsia"/>
                <w:strike w:val="0"/>
                <w:dstrike w:val="0"/>
                <w:color w:val="E36C09" w:themeColor="accent6" w:themeShade="BF"/>
                <w:kern w:val="0"/>
                <w:sz w:val="24"/>
                <w:szCs w:val="24"/>
                <w:vertAlign w:val="superscript"/>
                <w:lang w:eastAsia="zh-CN"/>
              </w:rPr>
              <w:t>2</w:t>
            </w:r>
          </w:p>
        </w:tc>
        <w:tc>
          <w:tcPr>
            <w:tcW w:w="1663" w:type="dxa"/>
            <w:tcBorders>
              <w:tl2br w:val="nil"/>
              <w:tr2bl w:val="nil"/>
            </w:tcBorders>
            <w:vAlign w:val="center"/>
          </w:tcPr>
          <w:p w14:paraId="210B66EA">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0.</w:t>
            </w:r>
            <w:r>
              <w:rPr>
                <w:rFonts w:hint="eastAsia" w:eastAsiaTheme="minorEastAsia"/>
                <w:color w:val="E36C09" w:themeColor="accent6" w:themeShade="BF"/>
                <w:lang w:eastAsia="en-US"/>
              </w:rPr>
              <w:t>13</w:t>
            </w:r>
          </w:p>
        </w:tc>
      </w:tr>
      <w:tr w14:paraId="55C94E3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vAlign w:val="center"/>
          </w:tcPr>
          <w:p w14:paraId="4EB577AE">
            <w:pPr>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r>
              <w:rPr>
                <w:rFonts w:ascii="Times New Roman" w:hAnsi="Times New Roman" w:cs="Times New Roman" w:eastAsiaTheme="minorEastAsia"/>
                <w:color w:val="E36C09" w:themeColor="accent6" w:themeShade="BF"/>
                <w:kern w:val="0"/>
                <w:sz w:val="24"/>
                <w:szCs w:val="24"/>
                <w:lang w:eastAsia="en-US"/>
              </w:rPr>
              <w:t>（2）</w:t>
            </w:r>
          </w:p>
        </w:tc>
        <w:tc>
          <w:tcPr>
            <w:tcW w:w="3090" w:type="dxa"/>
            <w:tcBorders>
              <w:tl2br w:val="nil"/>
              <w:tr2bl w:val="nil"/>
            </w:tcBorders>
            <w:vAlign w:val="center"/>
          </w:tcPr>
          <w:p w14:paraId="5AFE69FD">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石笼挡墙土方开挖</w:t>
            </w:r>
          </w:p>
        </w:tc>
        <w:tc>
          <w:tcPr>
            <w:tcW w:w="2882" w:type="dxa"/>
            <w:tcBorders>
              <w:tl2br w:val="nil"/>
              <w:tr2bl w:val="nil"/>
            </w:tcBorders>
            <w:vAlign w:val="center"/>
          </w:tcPr>
          <w:p w14:paraId="48B24F2D">
            <w:pPr>
              <w:snapToGrid w:val="0"/>
              <w:spacing w:line="240" w:lineRule="auto"/>
              <w:jc w:val="center"/>
              <w:rPr>
                <w:rFonts w:hint="eastAsia" w:ascii="Times New Roman" w:hAnsi="Times New Roman" w:cs="Times New Roman" w:eastAsiaTheme="minorEastAsia"/>
                <w:color w:val="E36C09" w:themeColor="accent6" w:themeShade="BF"/>
                <w:kern w:val="0"/>
                <w:sz w:val="24"/>
                <w:szCs w:val="24"/>
                <w:lang w:eastAsia="zh-CN"/>
              </w:rPr>
            </w:pPr>
            <w:r>
              <w:rPr>
                <w:rFonts w:hint="eastAsia" w:ascii="Times New Roman" w:hAnsi="Times New Roman" w:cs="Times New Roman" w:eastAsiaTheme="minorEastAsia"/>
                <w:color w:val="E36C09" w:themeColor="accent6" w:themeShade="BF"/>
                <w:kern w:val="0"/>
                <w:sz w:val="24"/>
                <w:szCs w:val="24"/>
                <w:lang w:eastAsia="zh-CN"/>
              </w:rPr>
              <w:t>m</w:t>
            </w:r>
            <w:r>
              <w:rPr>
                <w:rFonts w:hint="eastAsia" w:ascii="Times New Roman" w:hAnsi="Times New Roman" w:cs="Times New Roman" w:eastAsiaTheme="minorEastAsia"/>
                <w:strike w:val="0"/>
                <w:dstrike w:val="0"/>
                <w:color w:val="E36C09" w:themeColor="accent6" w:themeShade="BF"/>
                <w:kern w:val="0"/>
                <w:sz w:val="24"/>
                <w:szCs w:val="24"/>
                <w:vertAlign w:val="superscript"/>
                <w:lang w:eastAsia="zh-CN"/>
              </w:rPr>
              <w:t>3</w:t>
            </w:r>
          </w:p>
        </w:tc>
        <w:tc>
          <w:tcPr>
            <w:tcW w:w="1663" w:type="dxa"/>
            <w:tcBorders>
              <w:tl2br w:val="nil"/>
              <w:tr2bl w:val="nil"/>
            </w:tcBorders>
            <w:vAlign w:val="center"/>
          </w:tcPr>
          <w:p w14:paraId="6B44333A">
            <w:pPr>
              <w:pStyle w:val="156"/>
              <w:snapToGrid w:val="0"/>
              <w:spacing w:line="240" w:lineRule="auto"/>
              <w:ind w:left="110"/>
              <w:jc w:val="center"/>
              <w:rPr>
                <w:rFonts w:eastAsiaTheme="minorEastAsia"/>
                <w:color w:val="E36C09" w:themeColor="accent6" w:themeShade="BF"/>
                <w:lang w:eastAsia="en-US"/>
              </w:rPr>
            </w:pPr>
            <w:r>
              <w:rPr>
                <w:rFonts w:hint="eastAsia" w:eastAsiaTheme="minorEastAsia"/>
                <w:color w:val="E36C09" w:themeColor="accent6" w:themeShade="BF"/>
                <w:lang w:eastAsia="en-US"/>
              </w:rPr>
              <w:t>105</w:t>
            </w:r>
          </w:p>
        </w:tc>
      </w:tr>
      <w:tr w14:paraId="01B7A29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vAlign w:val="center"/>
          </w:tcPr>
          <w:p w14:paraId="1BECC08F">
            <w:pPr>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r>
              <w:rPr>
                <w:rFonts w:ascii="Times New Roman" w:hAnsi="Times New Roman" w:cs="Times New Roman" w:eastAsiaTheme="minorEastAsia"/>
                <w:color w:val="E36C09" w:themeColor="accent6" w:themeShade="BF"/>
                <w:kern w:val="0"/>
                <w:sz w:val="24"/>
                <w:szCs w:val="24"/>
                <w:lang w:eastAsia="en-US"/>
              </w:rPr>
              <w:t>（3）</w:t>
            </w:r>
          </w:p>
        </w:tc>
        <w:tc>
          <w:tcPr>
            <w:tcW w:w="3090" w:type="dxa"/>
            <w:tcBorders>
              <w:tl2br w:val="nil"/>
              <w:tr2bl w:val="nil"/>
            </w:tcBorders>
            <w:vAlign w:val="center"/>
          </w:tcPr>
          <w:p w14:paraId="769F54C7">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石笼挡墙体积</w:t>
            </w:r>
          </w:p>
        </w:tc>
        <w:tc>
          <w:tcPr>
            <w:tcW w:w="2882" w:type="dxa"/>
            <w:tcBorders>
              <w:tl2br w:val="nil"/>
              <w:tr2bl w:val="nil"/>
            </w:tcBorders>
            <w:vAlign w:val="center"/>
          </w:tcPr>
          <w:p w14:paraId="1FF384DB">
            <w:pPr>
              <w:snapToGrid w:val="0"/>
              <w:spacing w:line="240" w:lineRule="auto"/>
              <w:jc w:val="center"/>
              <w:rPr>
                <w:rFonts w:hint="eastAsia" w:ascii="Times New Roman" w:hAnsi="Times New Roman" w:cs="Times New Roman" w:eastAsiaTheme="minorEastAsia"/>
                <w:color w:val="E36C09" w:themeColor="accent6" w:themeShade="BF"/>
                <w:kern w:val="0"/>
                <w:sz w:val="24"/>
                <w:szCs w:val="24"/>
                <w:lang w:eastAsia="zh-CN"/>
              </w:rPr>
            </w:pPr>
            <w:r>
              <w:rPr>
                <w:rFonts w:hint="eastAsia" w:ascii="Times New Roman" w:hAnsi="Times New Roman" w:cs="Times New Roman" w:eastAsiaTheme="minorEastAsia"/>
                <w:color w:val="E36C09" w:themeColor="accent6" w:themeShade="BF"/>
                <w:kern w:val="0"/>
                <w:sz w:val="24"/>
                <w:szCs w:val="24"/>
                <w:lang w:eastAsia="zh-CN"/>
              </w:rPr>
              <w:t>m</w:t>
            </w:r>
            <w:r>
              <w:rPr>
                <w:rFonts w:hint="eastAsia" w:ascii="Times New Roman" w:hAnsi="Times New Roman" w:cs="Times New Roman" w:eastAsiaTheme="minorEastAsia"/>
                <w:strike w:val="0"/>
                <w:dstrike w:val="0"/>
                <w:color w:val="E36C09" w:themeColor="accent6" w:themeShade="BF"/>
                <w:kern w:val="0"/>
                <w:sz w:val="24"/>
                <w:szCs w:val="24"/>
                <w:vertAlign w:val="superscript"/>
                <w:lang w:eastAsia="zh-CN"/>
              </w:rPr>
              <w:t>3</w:t>
            </w:r>
          </w:p>
        </w:tc>
        <w:tc>
          <w:tcPr>
            <w:tcW w:w="1663" w:type="dxa"/>
            <w:tcBorders>
              <w:tl2br w:val="nil"/>
              <w:tr2bl w:val="nil"/>
            </w:tcBorders>
            <w:vAlign w:val="center"/>
          </w:tcPr>
          <w:p w14:paraId="26366873">
            <w:pPr>
              <w:pStyle w:val="156"/>
              <w:snapToGrid w:val="0"/>
              <w:spacing w:line="240" w:lineRule="auto"/>
              <w:ind w:left="110"/>
              <w:jc w:val="center"/>
              <w:rPr>
                <w:rFonts w:eastAsiaTheme="minorEastAsia"/>
                <w:color w:val="E36C09" w:themeColor="accent6" w:themeShade="BF"/>
                <w:lang w:eastAsia="en-US"/>
              </w:rPr>
            </w:pPr>
            <w:r>
              <w:rPr>
                <w:rFonts w:hint="eastAsia" w:eastAsiaTheme="minorEastAsia"/>
                <w:color w:val="E36C09" w:themeColor="accent6" w:themeShade="BF"/>
                <w:lang w:eastAsia="en-US"/>
              </w:rPr>
              <w:t>455</w:t>
            </w:r>
          </w:p>
        </w:tc>
      </w:tr>
      <w:tr w14:paraId="5300632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shd w:val="clear" w:color="auto" w:fill="auto"/>
            <w:vAlign w:val="center"/>
          </w:tcPr>
          <w:p w14:paraId="4CC47209">
            <w:pPr>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r>
              <w:rPr>
                <w:rFonts w:ascii="Times New Roman" w:hAnsi="Times New Roman" w:cs="Times New Roman" w:eastAsiaTheme="minorEastAsia"/>
                <w:color w:val="E36C09" w:themeColor="accent6" w:themeShade="BF"/>
                <w:kern w:val="0"/>
                <w:sz w:val="24"/>
                <w:szCs w:val="24"/>
                <w:lang w:eastAsia="en-US"/>
              </w:rPr>
              <w:t>（二）</w:t>
            </w:r>
          </w:p>
        </w:tc>
        <w:tc>
          <w:tcPr>
            <w:tcW w:w="3090" w:type="dxa"/>
            <w:tcBorders>
              <w:tl2br w:val="nil"/>
              <w:tr2bl w:val="nil"/>
            </w:tcBorders>
          </w:tcPr>
          <w:p w14:paraId="7B779CB5">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地貌重塑工程</w:t>
            </w:r>
          </w:p>
        </w:tc>
        <w:tc>
          <w:tcPr>
            <w:tcW w:w="2882" w:type="dxa"/>
            <w:tcBorders>
              <w:tl2br w:val="nil"/>
              <w:tr2bl w:val="nil"/>
            </w:tcBorders>
          </w:tcPr>
          <w:p w14:paraId="3DFCADAF">
            <w:pPr>
              <w:pStyle w:val="156"/>
              <w:snapToGrid w:val="0"/>
              <w:spacing w:line="240" w:lineRule="auto"/>
              <w:ind w:left="110"/>
              <w:jc w:val="center"/>
              <w:rPr>
                <w:rFonts w:eastAsiaTheme="minorEastAsia"/>
                <w:color w:val="E36C09" w:themeColor="accent6" w:themeShade="BF"/>
                <w:lang w:eastAsia="en-US"/>
              </w:rPr>
            </w:pPr>
          </w:p>
        </w:tc>
        <w:tc>
          <w:tcPr>
            <w:tcW w:w="1663" w:type="dxa"/>
            <w:tcBorders>
              <w:tl2br w:val="nil"/>
              <w:tr2bl w:val="nil"/>
            </w:tcBorders>
          </w:tcPr>
          <w:p w14:paraId="17C7CE2E">
            <w:pPr>
              <w:pStyle w:val="156"/>
              <w:snapToGrid w:val="0"/>
              <w:spacing w:line="240" w:lineRule="auto"/>
              <w:ind w:left="110"/>
              <w:jc w:val="center"/>
              <w:rPr>
                <w:rFonts w:eastAsiaTheme="minorEastAsia"/>
                <w:color w:val="E36C09" w:themeColor="accent6" w:themeShade="BF"/>
                <w:lang w:eastAsia="en-US"/>
              </w:rPr>
            </w:pPr>
          </w:p>
        </w:tc>
      </w:tr>
      <w:tr w14:paraId="2D5E936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tcPr>
          <w:p w14:paraId="02A14763">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1</w:t>
            </w:r>
          </w:p>
        </w:tc>
        <w:tc>
          <w:tcPr>
            <w:tcW w:w="3090" w:type="dxa"/>
            <w:tcBorders>
              <w:tl2br w:val="nil"/>
              <w:tr2bl w:val="nil"/>
            </w:tcBorders>
          </w:tcPr>
          <w:p w14:paraId="07D31C5A">
            <w:pPr>
              <w:pStyle w:val="156"/>
              <w:snapToGrid w:val="0"/>
              <w:spacing w:line="240" w:lineRule="auto"/>
              <w:ind w:left="110"/>
              <w:jc w:val="center"/>
              <w:rPr>
                <w:rFonts w:eastAsiaTheme="minorEastAsia"/>
                <w:color w:val="E36C09" w:themeColor="accent6" w:themeShade="BF"/>
                <w:lang w:eastAsia="zh-CN"/>
              </w:rPr>
            </w:pPr>
            <w:r>
              <w:rPr>
                <w:rFonts w:eastAsiaTheme="minorEastAsia"/>
                <w:color w:val="E36C09" w:themeColor="accent6" w:themeShade="BF"/>
                <w:lang w:eastAsia="zh-CN"/>
              </w:rPr>
              <w:t>露天采场、排土场治理工程</w:t>
            </w:r>
          </w:p>
        </w:tc>
        <w:tc>
          <w:tcPr>
            <w:tcW w:w="2882" w:type="dxa"/>
            <w:tcBorders>
              <w:tl2br w:val="nil"/>
              <w:tr2bl w:val="nil"/>
            </w:tcBorders>
          </w:tcPr>
          <w:p w14:paraId="37DE8C31">
            <w:pPr>
              <w:pStyle w:val="156"/>
              <w:snapToGrid w:val="0"/>
              <w:spacing w:line="240" w:lineRule="auto"/>
              <w:ind w:left="110"/>
              <w:jc w:val="center"/>
              <w:rPr>
                <w:rFonts w:eastAsiaTheme="minorEastAsia"/>
                <w:color w:val="E36C09" w:themeColor="accent6" w:themeShade="BF"/>
                <w:lang w:eastAsia="zh-CN"/>
              </w:rPr>
            </w:pPr>
          </w:p>
        </w:tc>
        <w:tc>
          <w:tcPr>
            <w:tcW w:w="1663" w:type="dxa"/>
            <w:tcBorders>
              <w:tl2br w:val="nil"/>
              <w:tr2bl w:val="nil"/>
            </w:tcBorders>
          </w:tcPr>
          <w:p w14:paraId="21206CCE">
            <w:pPr>
              <w:pStyle w:val="156"/>
              <w:snapToGrid w:val="0"/>
              <w:spacing w:line="240" w:lineRule="auto"/>
              <w:ind w:left="110"/>
              <w:jc w:val="center"/>
              <w:rPr>
                <w:rFonts w:eastAsiaTheme="minorEastAsia"/>
                <w:color w:val="E36C09" w:themeColor="accent6" w:themeShade="BF"/>
                <w:lang w:eastAsia="zh-CN"/>
              </w:rPr>
            </w:pPr>
          </w:p>
        </w:tc>
      </w:tr>
      <w:tr w14:paraId="69237D1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tcPr>
          <w:p w14:paraId="2C572A9D">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（1）</w:t>
            </w:r>
          </w:p>
        </w:tc>
        <w:tc>
          <w:tcPr>
            <w:tcW w:w="3090" w:type="dxa"/>
            <w:tcBorders>
              <w:tl2br w:val="nil"/>
              <w:tr2bl w:val="nil"/>
            </w:tcBorders>
          </w:tcPr>
          <w:p w14:paraId="6339E1B1">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拆除石笼挡墙</w:t>
            </w:r>
          </w:p>
        </w:tc>
        <w:tc>
          <w:tcPr>
            <w:tcW w:w="2882" w:type="dxa"/>
            <w:tcBorders>
              <w:tl2br w:val="nil"/>
              <w:tr2bl w:val="nil"/>
            </w:tcBorders>
          </w:tcPr>
          <w:p w14:paraId="27C7F300">
            <w:pPr>
              <w:pStyle w:val="156"/>
              <w:snapToGrid w:val="0"/>
              <w:spacing w:before="17" w:line="240" w:lineRule="auto"/>
              <w:ind w:left="110" w:right="1"/>
              <w:jc w:val="center"/>
              <w:rPr>
                <w:rFonts w:hint="eastAsia" w:eastAsiaTheme="minorEastAsia"/>
                <w:color w:val="E36C09" w:themeColor="accent6" w:themeShade="BF"/>
                <w:lang w:eastAsia="zh-CN"/>
              </w:rPr>
            </w:pPr>
            <w:r>
              <w:rPr>
                <w:rFonts w:hint="eastAsia" w:eastAsiaTheme="minorEastAsia"/>
                <w:color w:val="E36C09" w:themeColor="accent6" w:themeShade="BF"/>
                <w:lang w:eastAsia="zh-CN"/>
              </w:rPr>
              <w:t>m</w:t>
            </w:r>
            <w:r>
              <w:rPr>
                <w:rFonts w:hint="eastAsia" w:eastAsiaTheme="minorEastAsia"/>
                <w:strike w:val="0"/>
                <w:dstrike w:val="0"/>
                <w:color w:val="E36C09" w:themeColor="accent6" w:themeShade="BF"/>
                <w:vertAlign w:val="superscript"/>
                <w:lang w:eastAsia="zh-CN"/>
              </w:rPr>
              <w:t>3</w:t>
            </w:r>
          </w:p>
        </w:tc>
        <w:tc>
          <w:tcPr>
            <w:tcW w:w="1663" w:type="dxa"/>
            <w:tcBorders>
              <w:tl2br w:val="nil"/>
              <w:tr2bl w:val="nil"/>
            </w:tcBorders>
          </w:tcPr>
          <w:p w14:paraId="703F66A8">
            <w:pPr>
              <w:pStyle w:val="156"/>
              <w:snapToGrid w:val="0"/>
              <w:spacing w:before="14" w:line="240" w:lineRule="auto"/>
              <w:ind w:left="110"/>
              <w:jc w:val="center"/>
              <w:rPr>
                <w:rFonts w:eastAsiaTheme="minorEastAsia"/>
                <w:color w:val="E36C09" w:themeColor="accent6" w:themeShade="BF"/>
                <w:lang w:eastAsia="en-US"/>
              </w:rPr>
            </w:pPr>
            <w:r>
              <w:rPr>
                <w:rFonts w:hint="eastAsia" w:eastAsiaTheme="minorEastAsia"/>
                <w:color w:val="E36C09" w:themeColor="accent6" w:themeShade="BF"/>
                <w:lang w:eastAsia="en-US"/>
              </w:rPr>
              <w:t>455</w:t>
            </w:r>
          </w:p>
        </w:tc>
      </w:tr>
      <w:tr w14:paraId="25EF392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tcPr>
          <w:p w14:paraId="29ADF931">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（2）</w:t>
            </w:r>
          </w:p>
        </w:tc>
        <w:tc>
          <w:tcPr>
            <w:tcW w:w="3090" w:type="dxa"/>
            <w:tcBorders>
              <w:tl2br w:val="nil"/>
              <w:tr2bl w:val="nil"/>
            </w:tcBorders>
          </w:tcPr>
          <w:p w14:paraId="420E479E">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运输拆除石笼</w:t>
            </w:r>
          </w:p>
        </w:tc>
        <w:tc>
          <w:tcPr>
            <w:tcW w:w="2882" w:type="dxa"/>
            <w:tcBorders>
              <w:tl2br w:val="nil"/>
              <w:tr2bl w:val="nil"/>
            </w:tcBorders>
          </w:tcPr>
          <w:p w14:paraId="20DFFBEB">
            <w:pPr>
              <w:pStyle w:val="156"/>
              <w:snapToGrid w:val="0"/>
              <w:spacing w:before="15" w:line="240" w:lineRule="auto"/>
              <w:ind w:left="110" w:right="1"/>
              <w:jc w:val="center"/>
              <w:rPr>
                <w:rFonts w:hint="eastAsia" w:eastAsiaTheme="minorEastAsia"/>
                <w:color w:val="E36C09" w:themeColor="accent6" w:themeShade="BF"/>
                <w:lang w:eastAsia="zh-CN"/>
              </w:rPr>
            </w:pPr>
            <w:r>
              <w:rPr>
                <w:rFonts w:hint="eastAsia" w:eastAsiaTheme="minorEastAsia"/>
                <w:color w:val="E36C09" w:themeColor="accent6" w:themeShade="BF"/>
                <w:lang w:eastAsia="zh-CN"/>
              </w:rPr>
              <w:t>m</w:t>
            </w:r>
            <w:r>
              <w:rPr>
                <w:rFonts w:hint="eastAsia" w:eastAsiaTheme="minorEastAsia"/>
                <w:strike w:val="0"/>
                <w:dstrike w:val="0"/>
                <w:color w:val="E36C09" w:themeColor="accent6" w:themeShade="BF"/>
                <w:vertAlign w:val="superscript"/>
                <w:lang w:eastAsia="zh-CN"/>
              </w:rPr>
              <w:t>3</w:t>
            </w:r>
          </w:p>
        </w:tc>
        <w:tc>
          <w:tcPr>
            <w:tcW w:w="1663" w:type="dxa"/>
            <w:tcBorders>
              <w:tl2br w:val="nil"/>
              <w:tr2bl w:val="nil"/>
            </w:tcBorders>
          </w:tcPr>
          <w:p w14:paraId="2FAD4813">
            <w:pPr>
              <w:pStyle w:val="156"/>
              <w:snapToGrid w:val="0"/>
              <w:spacing w:before="14" w:line="240" w:lineRule="auto"/>
              <w:ind w:left="110"/>
              <w:jc w:val="center"/>
              <w:rPr>
                <w:rFonts w:eastAsiaTheme="minorEastAsia"/>
                <w:color w:val="E36C09" w:themeColor="accent6" w:themeShade="BF"/>
                <w:lang w:eastAsia="en-US"/>
              </w:rPr>
            </w:pPr>
            <w:r>
              <w:rPr>
                <w:rFonts w:hint="eastAsia" w:eastAsiaTheme="minorEastAsia"/>
                <w:color w:val="E36C09" w:themeColor="accent6" w:themeShade="BF"/>
                <w:lang w:eastAsia="en-US"/>
              </w:rPr>
              <w:t>455</w:t>
            </w:r>
          </w:p>
        </w:tc>
      </w:tr>
      <w:tr w14:paraId="7724894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tcPr>
          <w:p w14:paraId="411FCF28">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（3）</w:t>
            </w:r>
          </w:p>
        </w:tc>
        <w:tc>
          <w:tcPr>
            <w:tcW w:w="3090" w:type="dxa"/>
            <w:tcBorders>
              <w:tl2br w:val="nil"/>
              <w:tr2bl w:val="nil"/>
            </w:tcBorders>
          </w:tcPr>
          <w:p w14:paraId="6B32B62D">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地面清理平整</w:t>
            </w:r>
          </w:p>
        </w:tc>
        <w:tc>
          <w:tcPr>
            <w:tcW w:w="2882" w:type="dxa"/>
            <w:tcBorders>
              <w:tl2br w:val="nil"/>
              <w:tr2bl w:val="nil"/>
            </w:tcBorders>
          </w:tcPr>
          <w:p w14:paraId="349C0ACD">
            <w:pPr>
              <w:pStyle w:val="156"/>
              <w:snapToGrid w:val="0"/>
              <w:spacing w:before="16" w:line="240" w:lineRule="auto"/>
              <w:ind w:left="110" w:right="1"/>
              <w:jc w:val="center"/>
              <w:rPr>
                <w:rFonts w:hint="eastAsia" w:eastAsiaTheme="minorEastAsia"/>
                <w:color w:val="E36C09" w:themeColor="accent6" w:themeShade="BF"/>
                <w:lang w:eastAsia="zh-CN"/>
              </w:rPr>
            </w:pPr>
            <w:r>
              <w:rPr>
                <w:rFonts w:hint="eastAsia" w:eastAsiaTheme="minorEastAsia"/>
                <w:color w:val="E36C09" w:themeColor="accent6" w:themeShade="BF"/>
                <w:lang w:eastAsia="zh-CN"/>
              </w:rPr>
              <w:t>m</w:t>
            </w:r>
            <w:r>
              <w:rPr>
                <w:rFonts w:hint="eastAsia" w:eastAsiaTheme="minorEastAsia"/>
                <w:strike w:val="0"/>
                <w:dstrike w:val="0"/>
                <w:color w:val="E36C09" w:themeColor="accent6" w:themeShade="BF"/>
                <w:vertAlign w:val="superscript"/>
                <w:lang w:eastAsia="zh-CN"/>
              </w:rPr>
              <w:t>3</w:t>
            </w:r>
          </w:p>
        </w:tc>
        <w:tc>
          <w:tcPr>
            <w:tcW w:w="1663" w:type="dxa"/>
            <w:tcBorders>
              <w:tl2br w:val="nil"/>
              <w:tr2bl w:val="nil"/>
            </w:tcBorders>
          </w:tcPr>
          <w:p w14:paraId="0CB21431">
            <w:pPr>
              <w:pStyle w:val="156"/>
              <w:snapToGrid w:val="0"/>
              <w:spacing w:before="13" w:line="240" w:lineRule="auto"/>
              <w:ind w:left="110"/>
              <w:jc w:val="center"/>
              <w:rPr>
                <w:rFonts w:eastAsiaTheme="minorEastAsia"/>
                <w:color w:val="E36C09" w:themeColor="accent6" w:themeShade="BF"/>
                <w:lang w:eastAsia="en-US"/>
              </w:rPr>
            </w:pPr>
            <w:r>
              <w:rPr>
                <w:rFonts w:hint="eastAsia" w:eastAsiaTheme="minorEastAsia"/>
                <w:color w:val="E36C09" w:themeColor="accent6" w:themeShade="BF"/>
                <w:lang w:eastAsia="en-US"/>
              </w:rPr>
              <w:t>12540</w:t>
            </w:r>
          </w:p>
        </w:tc>
      </w:tr>
      <w:tr w14:paraId="3393F0F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vAlign w:val="center"/>
          </w:tcPr>
          <w:p w14:paraId="70ADC6F5">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（三）</w:t>
            </w:r>
          </w:p>
        </w:tc>
        <w:tc>
          <w:tcPr>
            <w:tcW w:w="3090" w:type="dxa"/>
            <w:tcBorders>
              <w:tl2br w:val="nil"/>
              <w:tr2bl w:val="nil"/>
            </w:tcBorders>
            <w:vAlign w:val="center"/>
          </w:tcPr>
          <w:p w14:paraId="13AFF30B">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土壤重构工程</w:t>
            </w:r>
          </w:p>
        </w:tc>
        <w:tc>
          <w:tcPr>
            <w:tcW w:w="2882" w:type="dxa"/>
            <w:tcBorders>
              <w:tl2br w:val="nil"/>
              <w:tr2bl w:val="nil"/>
            </w:tcBorders>
            <w:vAlign w:val="center"/>
          </w:tcPr>
          <w:p w14:paraId="6F9D82DD">
            <w:pPr>
              <w:pStyle w:val="156"/>
              <w:snapToGrid w:val="0"/>
              <w:spacing w:before="46" w:line="240" w:lineRule="auto"/>
              <w:ind w:left="110"/>
              <w:jc w:val="center"/>
              <w:rPr>
                <w:rFonts w:eastAsiaTheme="minorEastAsia"/>
                <w:color w:val="E36C09" w:themeColor="accent6" w:themeShade="BF"/>
                <w:lang w:eastAsia="en-US"/>
              </w:rPr>
            </w:pPr>
          </w:p>
        </w:tc>
        <w:tc>
          <w:tcPr>
            <w:tcW w:w="1663" w:type="dxa"/>
            <w:tcBorders>
              <w:tl2br w:val="nil"/>
              <w:tr2bl w:val="nil"/>
            </w:tcBorders>
            <w:vAlign w:val="center"/>
          </w:tcPr>
          <w:p w14:paraId="53878D53">
            <w:pPr>
              <w:pStyle w:val="156"/>
              <w:snapToGrid w:val="0"/>
              <w:spacing w:before="97" w:line="240" w:lineRule="auto"/>
              <w:ind w:left="110"/>
              <w:jc w:val="center"/>
              <w:rPr>
                <w:rFonts w:eastAsiaTheme="minorEastAsia"/>
                <w:color w:val="E36C09" w:themeColor="accent6" w:themeShade="BF"/>
                <w:lang w:eastAsia="en-US"/>
              </w:rPr>
            </w:pPr>
          </w:p>
        </w:tc>
      </w:tr>
      <w:tr w14:paraId="2369A4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vAlign w:val="center"/>
          </w:tcPr>
          <w:p w14:paraId="19B8FB4D">
            <w:pPr>
              <w:pStyle w:val="156"/>
              <w:snapToGrid w:val="0"/>
              <w:spacing w:line="240" w:lineRule="auto"/>
              <w:ind w:left="110"/>
              <w:jc w:val="center"/>
              <w:rPr>
                <w:rFonts w:eastAsiaTheme="minorEastAsia"/>
                <w:color w:val="E36C09" w:themeColor="accent6" w:themeShade="BF"/>
                <w:lang w:eastAsia="en-US"/>
              </w:rPr>
            </w:pPr>
            <w:r>
              <w:rPr>
                <w:rFonts w:hint="eastAsia" w:eastAsiaTheme="minorEastAsia"/>
                <w:color w:val="E36C09" w:themeColor="accent6" w:themeShade="BF"/>
                <w:lang w:eastAsia="en-US"/>
              </w:rPr>
              <w:t>1</w:t>
            </w:r>
          </w:p>
        </w:tc>
        <w:tc>
          <w:tcPr>
            <w:tcW w:w="3090" w:type="dxa"/>
            <w:tcBorders>
              <w:tl2br w:val="nil"/>
              <w:tr2bl w:val="nil"/>
            </w:tcBorders>
            <w:vAlign w:val="center"/>
          </w:tcPr>
          <w:p w14:paraId="5DD1223E">
            <w:pPr>
              <w:pStyle w:val="156"/>
              <w:snapToGrid w:val="0"/>
              <w:spacing w:before="3" w:line="240" w:lineRule="auto"/>
              <w:ind w:left="110" w:leftChars="0" w:right="1" w:rightChars="0"/>
              <w:jc w:val="center"/>
              <w:rPr>
                <w:rFonts w:eastAsiaTheme="minorEastAsia"/>
                <w:color w:val="E36C09" w:themeColor="accent6" w:themeShade="BF"/>
                <w:lang w:eastAsia="en-US"/>
              </w:rPr>
            </w:pPr>
            <w:r>
              <w:rPr>
                <w:rFonts w:eastAsiaTheme="minorEastAsia"/>
                <w:color w:val="E36C09" w:themeColor="accent6" w:themeShade="BF"/>
                <w:lang w:eastAsia="en-US"/>
              </w:rPr>
              <w:t>表土</w:t>
            </w:r>
            <w:r>
              <w:rPr>
                <w:rFonts w:hint="eastAsia" w:eastAsiaTheme="minorEastAsia"/>
                <w:color w:val="E36C09" w:themeColor="accent6" w:themeShade="BF"/>
                <w:lang w:val="en-US" w:eastAsia="zh-CN"/>
              </w:rPr>
              <w:t>运输</w:t>
            </w:r>
            <w:r>
              <w:rPr>
                <w:rFonts w:hint="eastAsia" w:eastAsiaTheme="minorEastAsia"/>
                <w:color w:val="E36C09" w:themeColor="accent6" w:themeShade="BF"/>
                <w:lang w:eastAsia="en-US"/>
              </w:rPr>
              <w:t>回覆</w:t>
            </w:r>
          </w:p>
        </w:tc>
        <w:tc>
          <w:tcPr>
            <w:tcW w:w="2882" w:type="dxa"/>
            <w:tcBorders>
              <w:tl2br w:val="nil"/>
              <w:tr2bl w:val="nil"/>
            </w:tcBorders>
            <w:vAlign w:val="center"/>
          </w:tcPr>
          <w:p w14:paraId="335FD56A">
            <w:pPr>
              <w:pStyle w:val="156"/>
              <w:snapToGrid w:val="0"/>
              <w:spacing w:before="50" w:line="240" w:lineRule="auto"/>
              <w:ind w:left="110" w:leftChars="0"/>
              <w:jc w:val="center"/>
              <w:rPr>
                <w:rFonts w:hint="eastAsia" w:eastAsiaTheme="minorEastAsia"/>
                <w:color w:val="E36C09" w:themeColor="accent6" w:themeShade="BF"/>
                <w:lang w:eastAsia="zh-CN"/>
              </w:rPr>
            </w:pPr>
            <w:r>
              <w:rPr>
                <w:rFonts w:hint="eastAsia" w:eastAsiaTheme="minorEastAsia"/>
                <w:color w:val="E36C09" w:themeColor="accent6" w:themeShade="BF"/>
                <w:lang w:eastAsia="zh-CN"/>
              </w:rPr>
              <w:t>m</w:t>
            </w:r>
            <w:r>
              <w:rPr>
                <w:rFonts w:hint="eastAsia" w:eastAsiaTheme="minorEastAsia"/>
                <w:strike w:val="0"/>
                <w:dstrike w:val="0"/>
                <w:color w:val="E36C09" w:themeColor="accent6" w:themeShade="BF"/>
                <w:vertAlign w:val="superscript"/>
                <w:lang w:eastAsia="zh-CN"/>
              </w:rPr>
              <w:t>3</w:t>
            </w:r>
          </w:p>
        </w:tc>
        <w:tc>
          <w:tcPr>
            <w:tcW w:w="1663" w:type="dxa"/>
            <w:tcBorders>
              <w:tl2br w:val="nil"/>
              <w:tr2bl w:val="nil"/>
            </w:tcBorders>
            <w:vAlign w:val="center"/>
          </w:tcPr>
          <w:p w14:paraId="731DF128">
            <w:pPr>
              <w:pStyle w:val="156"/>
              <w:snapToGrid w:val="0"/>
              <w:spacing w:before="49" w:line="240" w:lineRule="auto"/>
              <w:ind w:left="110" w:leftChars="0"/>
              <w:jc w:val="center"/>
              <w:rPr>
                <w:rFonts w:eastAsiaTheme="minorEastAsia"/>
                <w:color w:val="E36C09" w:themeColor="accent6" w:themeShade="BF"/>
                <w:lang w:eastAsia="en-US"/>
              </w:rPr>
            </w:pPr>
            <w:r>
              <w:rPr>
                <w:rFonts w:hint="eastAsia" w:eastAsiaTheme="minorEastAsia"/>
                <w:color w:val="E36C09" w:themeColor="accent6" w:themeShade="BF"/>
                <w:lang w:val="en-US" w:eastAsia="zh-CN"/>
              </w:rPr>
              <w:t>2700</w:t>
            </w:r>
          </w:p>
        </w:tc>
      </w:tr>
      <w:tr w14:paraId="713ACD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tcPr>
          <w:p w14:paraId="2823F0D3">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（四）</w:t>
            </w:r>
          </w:p>
        </w:tc>
        <w:tc>
          <w:tcPr>
            <w:tcW w:w="3090" w:type="dxa"/>
            <w:tcBorders>
              <w:tl2br w:val="nil"/>
              <w:tr2bl w:val="nil"/>
            </w:tcBorders>
          </w:tcPr>
          <w:p w14:paraId="57537C5E">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植被重建工程</w:t>
            </w:r>
          </w:p>
        </w:tc>
        <w:tc>
          <w:tcPr>
            <w:tcW w:w="2882" w:type="dxa"/>
            <w:tcBorders>
              <w:tl2br w:val="nil"/>
              <w:tr2bl w:val="nil"/>
            </w:tcBorders>
          </w:tcPr>
          <w:p w14:paraId="03F5B30D">
            <w:pPr>
              <w:pStyle w:val="156"/>
              <w:snapToGrid w:val="0"/>
              <w:spacing w:line="240" w:lineRule="auto"/>
              <w:ind w:left="110"/>
              <w:jc w:val="center"/>
              <w:rPr>
                <w:rFonts w:eastAsiaTheme="minorEastAsia"/>
                <w:color w:val="E36C09" w:themeColor="accent6" w:themeShade="BF"/>
                <w:lang w:eastAsia="en-US"/>
              </w:rPr>
            </w:pPr>
          </w:p>
        </w:tc>
        <w:tc>
          <w:tcPr>
            <w:tcW w:w="1663" w:type="dxa"/>
            <w:tcBorders>
              <w:tl2br w:val="nil"/>
              <w:tr2bl w:val="nil"/>
            </w:tcBorders>
          </w:tcPr>
          <w:p w14:paraId="3152659F">
            <w:pPr>
              <w:pStyle w:val="156"/>
              <w:snapToGrid w:val="0"/>
              <w:spacing w:before="45" w:line="240" w:lineRule="auto"/>
              <w:ind w:left="110"/>
              <w:jc w:val="center"/>
              <w:rPr>
                <w:rFonts w:eastAsiaTheme="minorEastAsia"/>
                <w:color w:val="E36C09" w:themeColor="accent6" w:themeShade="BF"/>
                <w:lang w:eastAsia="en-US"/>
              </w:rPr>
            </w:pPr>
          </w:p>
        </w:tc>
      </w:tr>
      <w:tr w14:paraId="2D28B22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tcPr>
          <w:p w14:paraId="1621B6BD">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1</w:t>
            </w:r>
          </w:p>
        </w:tc>
        <w:tc>
          <w:tcPr>
            <w:tcW w:w="3090" w:type="dxa"/>
            <w:tcBorders>
              <w:tl2br w:val="nil"/>
              <w:tr2bl w:val="nil"/>
            </w:tcBorders>
          </w:tcPr>
          <w:p w14:paraId="4EA3A48F">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栽植乔木</w:t>
            </w:r>
          </w:p>
        </w:tc>
        <w:tc>
          <w:tcPr>
            <w:tcW w:w="2882" w:type="dxa"/>
            <w:tcBorders>
              <w:tl2br w:val="nil"/>
              <w:tr2bl w:val="nil"/>
            </w:tcBorders>
          </w:tcPr>
          <w:p w14:paraId="6DA1CD3C">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株</w:t>
            </w:r>
          </w:p>
        </w:tc>
        <w:tc>
          <w:tcPr>
            <w:tcW w:w="1663" w:type="dxa"/>
            <w:tcBorders>
              <w:tl2br w:val="nil"/>
              <w:tr2bl w:val="nil"/>
            </w:tcBorders>
          </w:tcPr>
          <w:p w14:paraId="0141396A">
            <w:pPr>
              <w:pStyle w:val="156"/>
              <w:snapToGrid w:val="0"/>
              <w:spacing w:before="45" w:line="240" w:lineRule="auto"/>
              <w:ind w:left="110"/>
              <w:jc w:val="center"/>
              <w:rPr>
                <w:rFonts w:hint="eastAsia" w:eastAsiaTheme="minorEastAsia"/>
                <w:color w:val="E36C09" w:themeColor="accent6" w:themeShade="BF"/>
                <w:lang w:eastAsia="zh-CN"/>
              </w:rPr>
            </w:pPr>
            <w:r>
              <w:rPr>
                <w:rFonts w:hint="eastAsia" w:eastAsiaTheme="minorEastAsia"/>
                <w:color w:val="E36C09" w:themeColor="accent6" w:themeShade="BF"/>
                <w:lang w:eastAsia="zh-CN"/>
              </w:rPr>
              <w:t>31350</w:t>
            </w:r>
          </w:p>
        </w:tc>
      </w:tr>
      <w:tr w14:paraId="544D03B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tcPr>
          <w:p w14:paraId="2D62BA4E">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2</w:t>
            </w:r>
          </w:p>
        </w:tc>
        <w:tc>
          <w:tcPr>
            <w:tcW w:w="3090" w:type="dxa"/>
            <w:tcBorders>
              <w:tl2br w:val="nil"/>
              <w:tr2bl w:val="nil"/>
            </w:tcBorders>
          </w:tcPr>
          <w:p w14:paraId="303B6469">
            <w:pPr>
              <w:pStyle w:val="156"/>
              <w:snapToGrid w:val="0"/>
              <w:spacing w:before="8"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栽植常春藤</w:t>
            </w:r>
          </w:p>
        </w:tc>
        <w:tc>
          <w:tcPr>
            <w:tcW w:w="2882" w:type="dxa"/>
            <w:tcBorders>
              <w:tl2br w:val="nil"/>
              <w:tr2bl w:val="nil"/>
            </w:tcBorders>
          </w:tcPr>
          <w:p w14:paraId="0ED3B61F">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株</w:t>
            </w:r>
          </w:p>
        </w:tc>
        <w:tc>
          <w:tcPr>
            <w:tcW w:w="1663" w:type="dxa"/>
            <w:tcBorders>
              <w:tl2br w:val="nil"/>
              <w:tr2bl w:val="nil"/>
            </w:tcBorders>
          </w:tcPr>
          <w:p w14:paraId="486E839F">
            <w:pPr>
              <w:pStyle w:val="156"/>
              <w:snapToGrid w:val="0"/>
              <w:spacing w:before="45" w:line="240" w:lineRule="auto"/>
              <w:ind w:left="110"/>
              <w:jc w:val="center"/>
              <w:rPr>
                <w:rFonts w:eastAsiaTheme="minorEastAsia"/>
                <w:color w:val="E36C09" w:themeColor="accent6" w:themeShade="BF"/>
                <w:lang w:eastAsia="en-US"/>
              </w:rPr>
            </w:pPr>
            <w:r>
              <w:rPr>
                <w:rFonts w:hint="eastAsia" w:eastAsiaTheme="minorEastAsia"/>
                <w:color w:val="E36C09" w:themeColor="accent6" w:themeShade="BF"/>
                <w:lang w:eastAsia="en-US"/>
              </w:rPr>
              <w:t>5200</w:t>
            </w:r>
          </w:p>
        </w:tc>
      </w:tr>
      <w:tr w14:paraId="0F00227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tcPr>
          <w:p w14:paraId="1F72CD41">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（五）</w:t>
            </w:r>
          </w:p>
        </w:tc>
        <w:tc>
          <w:tcPr>
            <w:tcW w:w="3090" w:type="dxa"/>
            <w:tcBorders>
              <w:tl2br w:val="nil"/>
              <w:tr2bl w:val="nil"/>
            </w:tcBorders>
          </w:tcPr>
          <w:p w14:paraId="05D8FA54">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景观营建工程</w:t>
            </w:r>
          </w:p>
        </w:tc>
        <w:tc>
          <w:tcPr>
            <w:tcW w:w="2882" w:type="dxa"/>
            <w:tcBorders>
              <w:tl2br w:val="nil"/>
              <w:tr2bl w:val="nil"/>
            </w:tcBorders>
          </w:tcPr>
          <w:p w14:paraId="46AC123F">
            <w:pPr>
              <w:pStyle w:val="156"/>
              <w:snapToGrid w:val="0"/>
              <w:spacing w:line="240" w:lineRule="auto"/>
              <w:ind w:left="110" w:right="1"/>
              <w:jc w:val="center"/>
              <w:rPr>
                <w:rFonts w:eastAsiaTheme="minorEastAsia"/>
                <w:color w:val="E36C09" w:themeColor="accent6" w:themeShade="BF"/>
                <w:lang w:eastAsia="en-US"/>
              </w:rPr>
            </w:pPr>
          </w:p>
        </w:tc>
        <w:tc>
          <w:tcPr>
            <w:tcW w:w="1663" w:type="dxa"/>
            <w:tcBorders>
              <w:tl2br w:val="nil"/>
              <w:tr2bl w:val="nil"/>
            </w:tcBorders>
          </w:tcPr>
          <w:p w14:paraId="43BD3D6A">
            <w:pPr>
              <w:pStyle w:val="156"/>
              <w:snapToGrid w:val="0"/>
              <w:spacing w:line="240" w:lineRule="auto"/>
              <w:ind w:left="110" w:right="1"/>
              <w:jc w:val="center"/>
              <w:rPr>
                <w:rFonts w:eastAsiaTheme="minorEastAsia"/>
                <w:color w:val="E36C09" w:themeColor="accent6" w:themeShade="BF"/>
                <w:lang w:eastAsia="en-US"/>
              </w:rPr>
            </w:pPr>
          </w:p>
        </w:tc>
      </w:tr>
      <w:tr w14:paraId="6A61FC4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tcPr>
          <w:p w14:paraId="5F3FDA82">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1</w:t>
            </w:r>
          </w:p>
        </w:tc>
        <w:tc>
          <w:tcPr>
            <w:tcW w:w="3090" w:type="dxa"/>
            <w:tcBorders>
              <w:tl2br w:val="nil"/>
              <w:tr2bl w:val="nil"/>
            </w:tcBorders>
          </w:tcPr>
          <w:p w14:paraId="4E93FDEE">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警示牌</w:t>
            </w:r>
          </w:p>
        </w:tc>
        <w:tc>
          <w:tcPr>
            <w:tcW w:w="2882" w:type="dxa"/>
            <w:tcBorders>
              <w:tl2br w:val="nil"/>
              <w:tr2bl w:val="nil"/>
            </w:tcBorders>
          </w:tcPr>
          <w:p w14:paraId="2553042F">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个</w:t>
            </w:r>
          </w:p>
        </w:tc>
        <w:tc>
          <w:tcPr>
            <w:tcW w:w="1663" w:type="dxa"/>
            <w:tcBorders>
              <w:tl2br w:val="nil"/>
              <w:tr2bl w:val="nil"/>
            </w:tcBorders>
          </w:tcPr>
          <w:p w14:paraId="248FCF5D">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13</w:t>
            </w:r>
          </w:p>
        </w:tc>
      </w:tr>
      <w:tr w14:paraId="6724463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45" w:type="dxa"/>
            <w:tcBorders>
              <w:tl2br w:val="nil"/>
              <w:tr2bl w:val="nil"/>
            </w:tcBorders>
          </w:tcPr>
          <w:p w14:paraId="15C6125A">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2</w:t>
            </w:r>
          </w:p>
        </w:tc>
        <w:tc>
          <w:tcPr>
            <w:tcW w:w="3090" w:type="dxa"/>
            <w:tcBorders>
              <w:tl2br w:val="nil"/>
              <w:tr2bl w:val="nil"/>
            </w:tcBorders>
            <w:vAlign w:val="top"/>
          </w:tcPr>
          <w:p w14:paraId="66754846">
            <w:pPr>
              <w:pStyle w:val="156"/>
              <w:snapToGrid w:val="0"/>
              <w:spacing w:line="240" w:lineRule="auto"/>
              <w:ind w:left="110" w:leftChars="0" w:right="1" w:rightChars="0"/>
              <w:jc w:val="center"/>
              <w:rPr>
                <w:rFonts w:eastAsiaTheme="minorEastAsia"/>
                <w:color w:val="E36C09" w:themeColor="accent6" w:themeShade="BF"/>
                <w:lang w:eastAsia="en-US"/>
              </w:rPr>
            </w:pPr>
            <w:r>
              <w:rPr>
                <w:rFonts w:eastAsiaTheme="minorEastAsia"/>
                <w:color w:val="E36C09" w:themeColor="accent6" w:themeShade="BF"/>
                <w:lang w:eastAsia="en-US"/>
              </w:rPr>
              <w:t>开挖汇水渠</w:t>
            </w:r>
          </w:p>
        </w:tc>
        <w:tc>
          <w:tcPr>
            <w:tcW w:w="2882" w:type="dxa"/>
            <w:tcBorders>
              <w:tl2br w:val="nil"/>
              <w:tr2bl w:val="nil"/>
            </w:tcBorders>
            <w:vAlign w:val="top"/>
          </w:tcPr>
          <w:p w14:paraId="4255DFFD">
            <w:pPr>
              <w:pStyle w:val="156"/>
              <w:snapToGrid w:val="0"/>
              <w:spacing w:line="240" w:lineRule="auto"/>
              <w:ind w:left="110" w:leftChars="0" w:right="1" w:rightChars="0"/>
              <w:jc w:val="center"/>
              <w:rPr>
                <w:rFonts w:hint="eastAsia" w:eastAsiaTheme="minorEastAsia"/>
                <w:color w:val="E36C09" w:themeColor="accent6" w:themeShade="BF"/>
                <w:lang w:eastAsia="zh-CN"/>
              </w:rPr>
            </w:pPr>
            <w:r>
              <w:rPr>
                <w:rFonts w:hint="eastAsia" w:eastAsiaTheme="minorEastAsia"/>
                <w:color w:val="E36C09" w:themeColor="accent6" w:themeShade="BF"/>
                <w:lang w:eastAsia="zh-CN"/>
              </w:rPr>
              <w:t>m</w:t>
            </w:r>
            <w:r>
              <w:rPr>
                <w:rFonts w:hint="eastAsia" w:eastAsiaTheme="minorEastAsia"/>
                <w:strike w:val="0"/>
                <w:dstrike w:val="0"/>
                <w:color w:val="E36C09" w:themeColor="accent6" w:themeShade="BF"/>
                <w:vertAlign w:val="superscript"/>
                <w:lang w:eastAsia="zh-CN"/>
              </w:rPr>
              <w:t>3</w:t>
            </w:r>
          </w:p>
        </w:tc>
        <w:tc>
          <w:tcPr>
            <w:tcW w:w="1663" w:type="dxa"/>
            <w:tcBorders>
              <w:tl2br w:val="nil"/>
              <w:tr2bl w:val="nil"/>
            </w:tcBorders>
            <w:vAlign w:val="top"/>
          </w:tcPr>
          <w:p w14:paraId="7B94678B">
            <w:pPr>
              <w:pStyle w:val="156"/>
              <w:snapToGrid w:val="0"/>
              <w:spacing w:line="240" w:lineRule="auto"/>
              <w:ind w:left="110" w:leftChars="0" w:right="1" w:rightChars="0"/>
              <w:jc w:val="center"/>
              <w:rPr>
                <w:rFonts w:eastAsiaTheme="minorEastAsia"/>
                <w:color w:val="E36C09" w:themeColor="accent6" w:themeShade="BF"/>
                <w:lang w:eastAsia="en-US"/>
              </w:rPr>
            </w:pPr>
            <w:r>
              <w:rPr>
                <w:rFonts w:hint="eastAsia" w:eastAsiaTheme="minorEastAsia"/>
                <w:color w:val="E36C09" w:themeColor="accent6" w:themeShade="BF"/>
                <w:lang w:eastAsia="en-US"/>
              </w:rPr>
              <w:t>9</w:t>
            </w:r>
            <w:r>
              <w:rPr>
                <w:rFonts w:eastAsiaTheme="minorEastAsia"/>
                <w:color w:val="E36C09" w:themeColor="accent6" w:themeShade="BF"/>
                <w:lang w:eastAsia="en-US"/>
              </w:rPr>
              <w:t>00</w:t>
            </w:r>
          </w:p>
        </w:tc>
      </w:tr>
    </w:tbl>
    <w:p w14:paraId="251FCA4C">
      <w:pPr>
        <w:spacing w:before="10" w:line="240" w:lineRule="auto"/>
        <w:rPr>
          <w:rFonts w:ascii="Times New Roman" w:hAnsi="Times New Roman" w:cs="Times New Roman"/>
          <w:color w:val="000000" w:themeColor="text1"/>
          <w:sz w:val="11"/>
          <w:szCs w:val="11"/>
          <w:highlight w:val="yellow"/>
        </w:rPr>
      </w:pPr>
    </w:p>
    <w:p w14:paraId="1E23C9C7">
      <w:pPr>
        <w:spacing w:line="240" w:lineRule="auto"/>
        <w:jc w:val="center"/>
        <w:rPr>
          <w:rFonts w:ascii="Times New Roman" w:hAnsi="Times New Roman" w:eastAsia="Times New Roman" w:cs="Times New Roman"/>
          <w:color w:val="000000" w:themeColor="text1"/>
          <w:highlight w:val="yellow"/>
        </w:rPr>
      </w:pPr>
    </w:p>
    <w:p w14:paraId="5058DFBA">
      <w:pPr>
        <w:spacing w:line="240" w:lineRule="auto"/>
        <w:jc w:val="center"/>
        <w:rPr>
          <w:rFonts w:ascii="Times New Roman" w:hAnsi="Times New Roman" w:eastAsia="Times New Roman" w:cs="Times New Roman"/>
          <w:color w:val="000000" w:themeColor="text1"/>
          <w:highlight w:val="yellow"/>
        </w:rPr>
        <w:sectPr>
          <w:pgSz w:w="11910" w:h="16840"/>
          <w:pgMar w:top="1380" w:right="1560" w:bottom="1160" w:left="1560" w:header="0" w:footer="978" w:gutter="0"/>
          <w:pgBorders>
            <w:top w:val="none" w:sz="0" w:space="0"/>
            <w:left w:val="none" w:sz="0" w:space="0"/>
            <w:bottom w:val="none" w:sz="0" w:space="0"/>
            <w:right w:val="none" w:sz="0" w:space="0"/>
          </w:pgBorders>
          <w:cols w:space="720" w:num="1"/>
        </w:sectPr>
      </w:pPr>
    </w:p>
    <w:p w14:paraId="011B09BC">
      <w:pPr>
        <w:pStyle w:val="159"/>
        <w:topLinePunct/>
        <w:rPr>
          <w:rFonts w:ascii="Times New Roman" w:hAnsi="Times New Roman" w:cs="Times New Roman"/>
          <w:color w:val="000000" w:themeColor="text1"/>
        </w:rPr>
      </w:pPr>
      <w:bookmarkStart w:id="33" w:name="_Toc4182"/>
      <w:r>
        <w:rPr>
          <w:rFonts w:ascii="Times New Roman" w:hAnsi="Times New Roman" w:cs="Times New Roman"/>
          <w:color w:val="000000" w:themeColor="text1"/>
        </w:rPr>
        <w:t>第五章 监测与管护</w:t>
      </w:r>
      <w:bookmarkEnd w:id="33"/>
    </w:p>
    <w:p w14:paraId="4B88CDAB">
      <w:pPr>
        <w:pStyle w:val="174"/>
        <w:topLinePunct/>
        <w:rPr>
          <w:rFonts w:ascii="Times New Roman" w:hAnsi="Times New Roman" w:cs="Times New Roman"/>
          <w:color w:val="000000" w:themeColor="text1"/>
          <w:sz w:val="28"/>
          <w:szCs w:val="28"/>
        </w:rPr>
      </w:pPr>
      <w:bookmarkStart w:id="34" w:name="_Toc1797"/>
      <w:r>
        <w:rPr>
          <w:rFonts w:ascii="Times New Roman" w:hAnsi="Times New Roman" w:cs="Times New Roman"/>
          <w:color w:val="000000" w:themeColor="text1"/>
          <w:sz w:val="28"/>
          <w:szCs w:val="28"/>
        </w:rPr>
        <w:t>一、监测目标与措施</w:t>
      </w:r>
      <w:bookmarkEnd w:id="34"/>
    </w:p>
    <w:p w14:paraId="59001DAD">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（一）目标任务</w:t>
      </w:r>
    </w:p>
    <w:p w14:paraId="16151B48">
      <w:pPr>
        <w:pStyle w:val="178"/>
        <w:topLinePunct/>
        <w:rPr>
          <w:rFonts w:ascii="Times New Roman" w:hAnsi="Times New Roman" w:cs="Times New Roman"/>
          <w:color w:val="000000" w:themeColor="text1"/>
        </w:rPr>
      </w:pPr>
      <w:r>
        <w:rPr>
          <w:rFonts w:ascii="Times New Roman" w:hAnsi="Times New Roman" w:cs="Times New Roman"/>
          <w:color w:val="000000" w:themeColor="text1"/>
        </w:rPr>
        <w:t>1、保障工程安全与质量：确保修复工程实施过程符合设计要求、技术规范和安全标准，及时发现和消除工程安全隐患，保障施工人员及周边环境安全。</w:t>
      </w:r>
    </w:p>
    <w:p w14:paraId="0B8A078B">
      <w:pPr>
        <w:pStyle w:val="178"/>
        <w:topLinePunct/>
        <w:rPr>
          <w:rFonts w:ascii="Times New Roman" w:hAnsi="Times New Roman" w:cs="Times New Roman"/>
          <w:color w:val="000000" w:themeColor="text1"/>
        </w:rPr>
      </w:pPr>
      <w:r>
        <w:rPr>
          <w:rFonts w:ascii="Times New Roman" w:hAnsi="Times New Roman" w:cs="Times New Roman"/>
          <w:color w:val="000000" w:themeColor="text1"/>
        </w:rPr>
        <w:t>2、掌握动态变化与评估效果：实时、动态掌握修复区及周边关键环境要素（地质环境、土地资源、生态系统）的变化趋势，科学、客观地评估各项生态修复措施的实施效果、稳定性及可持续性。</w:t>
      </w:r>
    </w:p>
    <w:p w14:paraId="2626A1F1">
      <w:pPr>
        <w:pStyle w:val="178"/>
        <w:topLinePunct/>
        <w:rPr>
          <w:rFonts w:ascii="Times New Roman" w:hAnsi="Times New Roman" w:cs="Times New Roman"/>
          <w:color w:val="000000" w:themeColor="text1"/>
        </w:rPr>
      </w:pPr>
      <w:r>
        <w:rPr>
          <w:rFonts w:ascii="Times New Roman" w:hAnsi="Times New Roman" w:cs="Times New Roman"/>
          <w:color w:val="000000" w:themeColor="text1"/>
        </w:rPr>
        <w:t>3、验证修复目标达成度：通过系统监测数据，验证修复工程是否达到了预定的修复目标（如：边坡稳定、土壤污染物达标、植被覆盖度/生物量目标、生物多样性恢复水平等），为最终工程验收提供量化依据。</w:t>
      </w:r>
    </w:p>
    <w:p w14:paraId="63C296CF">
      <w:pPr>
        <w:pStyle w:val="178"/>
        <w:topLinePunct/>
        <w:rPr>
          <w:rFonts w:ascii="Times New Roman" w:hAnsi="Times New Roman" w:cs="Times New Roman"/>
          <w:color w:val="000000" w:themeColor="text1"/>
        </w:rPr>
      </w:pPr>
      <w:r>
        <w:rPr>
          <w:rFonts w:ascii="Times New Roman" w:hAnsi="Times New Roman" w:cs="Times New Roman"/>
          <w:color w:val="000000" w:themeColor="text1"/>
        </w:rPr>
        <w:t>4、识别风险与预警防控：及时识别修复过程中及修复后可能出现的环境风险（如：地质灾害复发、土壤污染物迁移扩散、植被退化、水环境污染等），建立预警机制，为采取有效防控和调整措施提供决策支持。</w:t>
      </w:r>
    </w:p>
    <w:p w14:paraId="6CC481DE">
      <w:pPr>
        <w:pStyle w:val="178"/>
        <w:topLinePunct/>
        <w:rPr>
          <w:rFonts w:ascii="Times New Roman" w:hAnsi="Times New Roman" w:cs="Times New Roman"/>
          <w:color w:val="000000" w:themeColor="text1"/>
        </w:rPr>
      </w:pPr>
      <w:r>
        <w:rPr>
          <w:rFonts w:ascii="Times New Roman" w:hAnsi="Times New Roman" w:cs="Times New Roman"/>
          <w:color w:val="000000" w:themeColor="text1"/>
        </w:rPr>
        <w:t>5、优化管理与指导决策：为修复工程的动态管理、后期养护措施的调整优化以及后续类似项目的规划设计提供科学依据和数据支撑。</w:t>
      </w:r>
    </w:p>
    <w:p w14:paraId="098E4F1D">
      <w:pPr>
        <w:pStyle w:val="178"/>
        <w:topLinePunct/>
        <w:rPr>
          <w:rFonts w:ascii="Times New Roman" w:hAnsi="Times New Roman" w:cs="Times New Roman"/>
          <w:color w:val="000000" w:themeColor="text1"/>
        </w:rPr>
      </w:pPr>
      <w:r>
        <w:rPr>
          <w:rFonts w:ascii="Times New Roman" w:hAnsi="Times New Roman" w:cs="Times New Roman"/>
          <w:color w:val="000000" w:themeColor="text1"/>
        </w:rPr>
        <w:t>6、开采前监测：主要获取矿山地质环境背景、土地资源现状和生态系统本底的基值和参照值； 监测矿产资源开采前矿山及周边区域地下水环境和土壤环境背景；查清监测范围内土地利用现状、基本农田基本情况、各土地利用类型质量及生产水平；查清监测范围内地表水环境面积和陆地植被生态状况；依据主体功能区定位，结合矿区自然环境特点，基于土地利用图斑，按照典型性和代表性，设置林地、草地、湿地生态系统样地样方，建设参照生态系统，获取参照值。</w:t>
      </w:r>
    </w:p>
    <w:p w14:paraId="3E551DDD">
      <w:pPr>
        <w:pStyle w:val="178"/>
        <w:topLinePunct/>
        <w:rPr>
          <w:rFonts w:ascii="Times New Roman" w:hAnsi="Times New Roman" w:cs="Times New Roman"/>
          <w:color w:val="000000" w:themeColor="text1"/>
        </w:rPr>
      </w:pPr>
      <w:r>
        <w:rPr>
          <w:rFonts w:ascii="Times New Roman" w:hAnsi="Times New Roman" w:cs="Times New Roman"/>
          <w:color w:val="000000" w:themeColor="text1"/>
        </w:rPr>
        <w:t>7、开采中监测： 主要开展保护预防控制、损毁现状与拟损毁、复垦修复成效监测；监测矿山开采保护预防控制措施落实情况,包括保护等措施及效果、预防控制措施及效果；监测矿山开采引发的不稳定边坡、地下水环境破坏和土壤环境破坏状况；监测矿山开采挖损、压占、污染等损毁土地类型、面积及程度，损毁基本农田情况；监测矿山开采生态用地损毁、地表水环境；监测已破坏地质环境恢复治理、已损毁土地复垦利用、已破坏(退化)生态系统恢复状况；监测拟破坏地质环境、拟损毁土地资源、拟破坏生态系统变化情况。</w:t>
      </w:r>
    </w:p>
    <w:p w14:paraId="70395B7F">
      <w:pPr>
        <w:pStyle w:val="178"/>
        <w:topLinePunct/>
        <w:rPr>
          <w:rFonts w:ascii="Times New Roman" w:hAnsi="Times New Roman" w:cs="Times New Roman"/>
          <w:color w:val="000000" w:themeColor="text1"/>
        </w:rPr>
      </w:pPr>
      <w:r>
        <w:rPr>
          <w:rFonts w:ascii="Times New Roman" w:hAnsi="Times New Roman" w:cs="Times New Roman"/>
          <w:color w:val="000000" w:themeColor="text1"/>
        </w:rPr>
        <w:t>8、开采后监测：主要监测已复垦修复区的管理维护情况；监测已复垦修复的基础设施维护、土地质量与植被管护情况、生态系统功能维持情况。</w:t>
      </w:r>
    </w:p>
    <w:p w14:paraId="0D786D70">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（二）监测措施</w:t>
      </w:r>
    </w:p>
    <w:p w14:paraId="155E8F54">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1、矿山地质环境监测</w:t>
      </w:r>
    </w:p>
    <w:p w14:paraId="7115E618">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（1）地质灾害监测</w:t>
      </w:r>
    </w:p>
    <w:p w14:paraId="14ABAB44">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1）监测方法</w:t>
      </w:r>
    </w:p>
    <w:p w14:paraId="0B16B3AF">
      <w:pPr>
        <w:pStyle w:val="178"/>
        <w:topLinePunct/>
        <w:rPr>
          <w:rFonts w:ascii="Times New Roman" w:hAnsi="Times New Roman" w:cs="Times New Roman"/>
          <w:color w:val="000000" w:themeColor="text1"/>
        </w:rPr>
      </w:pPr>
      <w:r>
        <w:rPr>
          <w:rFonts w:ascii="Times New Roman" w:hAnsi="Times New Roman" w:cs="Times New Roman"/>
          <w:color w:val="000000" w:themeColor="text1"/>
        </w:rPr>
        <w:t>人工现场调查观测。</w:t>
      </w:r>
    </w:p>
    <w:p w14:paraId="5A85C63B">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2）监测点的布设</w:t>
      </w:r>
    </w:p>
    <w:p w14:paraId="1BC689C4">
      <w:pPr>
        <w:pStyle w:val="178"/>
        <w:topLinePunct/>
        <w:rPr>
          <w:rFonts w:ascii="Times New Roman" w:hAnsi="Times New Roman" w:cs="Times New Roman"/>
          <w:color w:val="000000" w:themeColor="text1"/>
        </w:rPr>
      </w:pPr>
      <w:r>
        <w:rPr>
          <w:rFonts w:ascii="Times New Roman" w:hAnsi="Times New Roman" w:cs="Times New Roman"/>
          <w:color w:val="000000" w:themeColor="text1"/>
        </w:rPr>
        <w:t>监测点主要布设在露天采场坡顶、坡脚处。方案适用范围内共布置4个监测点。</w:t>
      </w:r>
    </w:p>
    <w:p w14:paraId="3F7E46D5">
      <w:pPr>
        <w:pStyle w:val="178"/>
        <w:topLinePunct/>
        <w:rPr>
          <w:rFonts w:ascii="Times New Roman" w:hAnsi="Times New Roman" w:cs="Times New Roman"/>
          <w:color w:val="000000" w:themeColor="text1"/>
        </w:rPr>
      </w:pPr>
      <w:r>
        <w:rPr>
          <w:rFonts w:ascii="Times New Roman" w:hAnsi="Times New Roman" w:cs="Times New Roman"/>
          <w:color w:val="000000" w:themeColor="text1"/>
        </w:rPr>
        <w:t>3）监测频率</w:t>
      </w:r>
    </w:p>
    <w:p w14:paraId="7BAFA8FE">
      <w:pPr>
        <w:pStyle w:val="178"/>
        <w:topLinePunct/>
        <w:rPr>
          <w:rFonts w:ascii="Times New Roman" w:hAnsi="Times New Roman" w:cs="Times New Roman"/>
          <w:color w:val="000000" w:themeColor="text1"/>
        </w:rPr>
      </w:pPr>
      <w:r>
        <w:rPr>
          <w:rFonts w:ascii="Times New Roman" w:hAnsi="Times New Roman" w:cs="Times New Roman"/>
          <w:color w:val="000000" w:themeColor="text1"/>
        </w:rPr>
        <w:t>滑坡和崩塌的观测周期应视其活跃程度及季节变化等情况而定。在遇暴雨、发现滑速增快或观测过程中发现有大滑动的可能时，应立即缩短观测周期，及时增加观测次数。目前一月观测一次。 设计对开采期进行监测，土地损毁监测期限为</w:t>
      </w:r>
      <w:r>
        <w:rPr>
          <w:rFonts w:hint="eastAsia" w:ascii="Times New Roman" w:hAnsi="Times New Roman" w:cs="Times New Roman"/>
          <w:color w:val="000000" w:themeColor="text1"/>
        </w:rPr>
        <w:t>26</w:t>
      </w:r>
      <w:r>
        <w:rPr>
          <w:rFonts w:ascii="Times New Roman" w:hAnsi="Times New Roman" w:cs="Times New Roman"/>
          <w:color w:val="000000" w:themeColor="text1"/>
        </w:rPr>
        <w:t>年。</w:t>
      </w:r>
    </w:p>
    <w:p w14:paraId="066D5EC7">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（2）地表水监测</w:t>
      </w:r>
    </w:p>
    <w:p w14:paraId="03C3270E">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1）监测方法</w:t>
      </w:r>
    </w:p>
    <w:p w14:paraId="52311B46">
      <w:pPr>
        <w:pStyle w:val="178"/>
        <w:topLinePunct/>
        <w:rPr>
          <w:rFonts w:ascii="Times New Roman" w:hAnsi="Times New Roman" w:cs="Times New Roman"/>
          <w:color w:val="000000" w:themeColor="text1"/>
        </w:rPr>
      </w:pPr>
      <w:r>
        <w:rPr>
          <w:rFonts w:ascii="Times New Roman" w:hAnsi="Times New Roman" w:cs="Times New Roman"/>
          <w:color w:val="000000" w:themeColor="text1"/>
        </w:rPr>
        <w:t>由于矿山所在地没有地下水露头，周边也无地下水取水井，为此本次主要对汛期地表水进行监测，主要是对采场在暴雨条件下是否形成汇水开展监测。</w:t>
      </w:r>
    </w:p>
    <w:p w14:paraId="6623E860">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2）监测点布设</w:t>
      </w:r>
    </w:p>
    <w:p w14:paraId="6AAD8106">
      <w:pPr>
        <w:pStyle w:val="178"/>
        <w:topLinePunct/>
        <w:rPr>
          <w:rFonts w:ascii="Times New Roman" w:hAnsi="Times New Roman" w:cs="Times New Roman"/>
          <w:color w:val="000000" w:themeColor="text1"/>
        </w:rPr>
      </w:pPr>
      <w:r>
        <w:rPr>
          <w:rFonts w:ascii="Times New Roman" w:hAnsi="Times New Roman" w:cs="Times New Roman"/>
          <w:color w:val="000000" w:themeColor="text1"/>
        </w:rPr>
        <w:t>方案适用期内监测区域为评估区，共布设监测点2个。根据矿山实际情况，地表水以水位监测为主，不开展水质监测。</w:t>
      </w:r>
    </w:p>
    <w:p w14:paraId="04C09EA7">
      <w:pPr>
        <w:pStyle w:val="178"/>
        <w:topLinePunct/>
        <w:rPr>
          <w:rFonts w:ascii="Times New Roman" w:hAnsi="Times New Roman" w:cs="Times New Roman"/>
          <w:color w:val="000000" w:themeColor="text1"/>
        </w:rPr>
      </w:pPr>
      <w:r>
        <w:rPr>
          <w:rFonts w:ascii="Times New Roman" w:hAnsi="Times New Roman" w:cs="Times New Roman"/>
          <w:color w:val="000000" w:themeColor="text1"/>
        </w:rPr>
        <w:t>3）监测频率及时限</w:t>
      </w:r>
    </w:p>
    <w:p w14:paraId="493CBD89">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地表水观测主要安排在汛期的6-9月份，监测频率2次/月，当遇到暴雨天气，需每天监测。设计对开采期进行监测，土地损毁监测期限为</w:t>
      </w:r>
      <w:r>
        <w:rPr>
          <w:rFonts w:hint="eastAsia" w:ascii="Times New Roman" w:hAnsi="Times New Roman" w:cs="Times New Roman"/>
          <w:color w:val="000000" w:themeColor="text1"/>
        </w:rPr>
        <w:t>26</w:t>
      </w:r>
      <w:r>
        <w:rPr>
          <w:rFonts w:ascii="Times New Roman" w:hAnsi="Times New Roman" w:cs="Times New Roman"/>
          <w:color w:val="000000" w:themeColor="text1"/>
        </w:rPr>
        <w:t>年。</w:t>
      </w:r>
    </w:p>
    <w:p w14:paraId="45A55307">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2、土地资源监测</w:t>
      </w:r>
    </w:p>
    <w:p w14:paraId="60CBF421">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（1）地形地貌景观监测</w:t>
      </w:r>
    </w:p>
    <w:p w14:paraId="27F5EF02">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1）监测方法与技术要求</w:t>
      </w:r>
    </w:p>
    <w:p w14:paraId="688D0B7A">
      <w:pPr>
        <w:pStyle w:val="178"/>
        <w:topLinePunct/>
        <w:rPr>
          <w:rFonts w:ascii="Times New Roman" w:hAnsi="Times New Roman" w:cs="Times New Roman"/>
          <w:color w:val="000000" w:themeColor="text1"/>
        </w:rPr>
      </w:pPr>
      <w:r>
        <w:rPr>
          <w:rFonts w:ascii="Times New Roman" w:hAnsi="Times New Roman" w:cs="Times New Roman"/>
          <w:color w:val="000000" w:themeColor="text1"/>
        </w:rPr>
        <w:t>监测方法为现场监测。对采坑的大小、深度和边坡坡度的大小情况进行现场登记。</w:t>
      </w:r>
    </w:p>
    <w:p w14:paraId="0776B941">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2）监测点布设</w:t>
      </w:r>
    </w:p>
    <w:p w14:paraId="011CD383">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地貌景观监测共设置2个监测点。</w:t>
      </w:r>
    </w:p>
    <w:p w14:paraId="02E0B6BA">
      <w:pPr>
        <w:pStyle w:val="178"/>
        <w:topLinePunct/>
        <w:rPr>
          <w:rFonts w:ascii="Times New Roman" w:hAnsi="Times New Roman" w:cs="Times New Roman"/>
          <w:color w:val="000000" w:themeColor="text1"/>
        </w:rPr>
      </w:pPr>
      <w:r>
        <w:rPr>
          <w:rFonts w:ascii="Times New Roman" w:hAnsi="Times New Roman" w:cs="Times New Roman"/>
          <w:color w:val="000000" w:themeColor="text1"/>
        </w:rPr>
        <w:t>3）监测点布设与监测频率</w:t>
      </w:r>
    </w:p>
    <w:p w14:paraId="7FD5575F">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地貌景观监测频率2次/年。设计对开采期进行监测，土地损毁监测期限为</w:t>
      </w:r>
      <w:r>
        <w:rPr>
          <w:rFonts w:hint="eastAsia" w:ascii="Times New Roman" w:hAnsi="Times New Roman" w:cs="Times New Roman"/>
          <w:color w:val="000000" w:themeColor="text1"/>
        </w:rPr>
        <w:t>26</w:t>
      </w:r>
      <w:r>
        <w:rPr>
          <w:rFonts w:ascii="Times New Roman" w:hAnsi="Times New Roman" w:cs="Times New Roman"/>
          <w:color w:val="000000" w:themeColor="text1"/>
        </w:rPr>
        <w:t>年。</w:t>
      </w:r>
    </w:p>
    <w:p w14:paraId="0EC6560B">
      <w:pPr>
        <w:pStyle w:val="178"/>
        <w:topLinePunct/>
        <w:rPr>
          <w:rFonts w:ascii="Times New Roman" w:hAnsi="Times New Roman" w:cs="Times New Roman"/>
          <w:color w:val="000000" w:themeColor="text1"/>
        </w:rPr>
      </w:pPr>
      <w:r>
        <w:rPr>
          <w:rFonts w:ascii="Times New Roman" w:hAnsi="Times New Roman" w:cs="Times New Roman"/>
          <w:color w:val="000000" w:themeColor="text1"/>
        </w:rPr>
        <w:t>3、生态系统监测</w:t>
      </w:r>
    </w:p>
    <w:p w14:paraId="576AFFE2">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（1）土壤质量监测</w:t>
      </w:r>
    </w:p>
    <w:p w14:paraId="0CDCCCA4">
      <w:pPr>
        <w:pStyle w:val="178"/>
        <w:topLinePunct/>
        <w:rPr>
          <w:rFonts w:ascii="Times New Roman" w:hAnsi="Times New Roman" w:cs="Times New Roman"/>
          <w:color w:val="000000" w:themeColor="text1"/>
        </w:rPr>
      </w:pPr>
      <w:r>
        <w:rPr>
          <w:rFonts w:ascii="Times New Roman" w:hAnsi="Times New Roman" w:cs="Times New Roman"/>
          <w:color w:val="000000" w:themeColor="text1"/>
        </w:rPr>
        <w:t>监测内容：对修复区土地进行土壤质量监测，监测内容为地面坡度、覆土厚度、pH值、重金属含量、有效土层厚度、土壤质地、土壤砾石含量、有机质、全氮、有效磷、有效钾等。</w:t>
      </w:r>
    </w:p>
    <w:p w14:paraId="7F5E336C">
      <w:pPr>
        <w:pStyle w:val="178"/>
        <w:topLinePunct/>
        <w:rPr>
          <w:rFonts w:ascii="Times New Roman" w:hAnsi="Times New Roman" w:cs="Times New Roman"/>
          <w:color w:val="000000" w:themeColor="text1"/>
        </w:rPr>
      </w:pPr>
      <w:r>
        <w:rPr>
          <w:rFonts w:ascii="Times New Roman" w:hAnsi="Times New Roman" w:cs="Times New Roman"/>
          <w:color w:val="000000" w:themeColor="text1"/>
        </w:rPr>
        <w:t>监测方法：本生态修复方案以《土地复垦技术标准（试行）》为准。</w:t>
      </w:r>
    </w:p>
    <w:p w14:paraId="0B23DBEF">
      <w:pPr>
        <w:pStyle w:val="178"/>
        <w:topLinePunct/>
        <w:rPr>
          <w:rFonts w:ascii="Times New Roman" w:hAnsi="Times New Roman" w:cs="Times New Roman"/>
          <w:color w:val="000000" w:themeColor="text1"/>
        </w:rPr>
      </w:pPr>
      <w:r>
        <w:rPr>
          <w:rFonts w:ascii="Times New Roman" w:hAnsi="Times New Roman" w:cs="Times New Roman"/>
          <w:color w:val="000000" w:themeColor="text1"/>
        </w:rPr>
        <w:t>监测频率：每年1次，持续3年，详见表5-1土壤质量监测方案。</w:t>
      </w:r>
    </w:p>
    <w:p w14:paraId="7C15966F">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表5-1 土壤质量监测方案表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2162"/>
        <w:gridCol w:w="2177"/>
        <w:gridCol w:w="1966"/>
        <w:gridCol w:w="2795"/>
      </w:tblGrid>
      <w:tr w14:paraId="73F53DA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blHeader/>
          <w:jc w:val="center"/>
        </w:trPr>
        <w:tc>
          <w:tcPr>
            <w:tcW w:w="1195" w:type="pct"/>
            <w:noWrap/>
            <w:vAlign w:val="center"/>
          </w:tcPr>
          <w:p w14:paraId="698BFB05">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监测内容</w:t>
            </w:r>
          </w:p>
        </w:tc>
        <w:tc>
          <w:tcPr>
            <w:tcW w:w="1203" w:type="pct"/>
            <w:noWrap/>
            <w:vAlign w:val="center"/>
          </w:tcPr>
          <w:p w14:paraId="3C5EDEF3">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监测频次（次/年）</w:t>
            </w:r>
          </w:p>
        </w:tc>
        <w:tc>
          <w:tcPr>
            <w:tcW w:w="1058" w:type="pct"/>
            <w:noWrap/>
            <w:vAlign w:val="center"/>
          </w:tcPr>
          <w:p w14:paraId="118471F4">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监测点数量（个）</w:t>
            </w:r>
          </w:p>
        </w:tc>
        <w:tc>
          <w:tcPr>
            <w:tcW w:w="1542" w:type="pct"/>
            <w:noWrap/>
            <w:vAlign w:val="center"/>
          </w:tcPr>
          <w:p w14:paraId="64BB6E7D">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样点持续监测时间（年）</w:t>
            </w:r>
          </w:p>
        </w:tc>
      </w:tr>
      <w:tr w14:paraId="5347DD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ign w:val="center"/>
          </w:tcPr>
          <w:p w14:paraId="2A4D756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地面坡度</w:t>
            </w:r>
          </w:p>
        </w:tc>
        <w:tc>
          <w:tcPr>
            <w:tcW w:w="1203" w:type="pct"/>
            <w:noWrap/>
            <w:vAlign w:val="center"/>
          </w:tcPr>
          <w:p w14:paraId="6B72E7CA">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966" w:type="dxa"/>
            <w:noWrap/>
            <w:vAlign w:val="center"/>
          </w:tcPr>
          <w:p w14:paraId="1CFDE6A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42" w:type="pct"/>
            <w:noWrap/>
            <w:vAlign w:val="center"/>
          </w:tcPr>
          <w:p w14:paraId="076B4BA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792697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ign w:val="center"/>
          </w:tcPr>
          <w:p w14:paraId="277634B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覆土厚度</w:t>
            </w:r>
          </w:p>
        </w:tc>
        <w:tc>
          <w:tcPr>
            <w:tcW w:w="1203" w:type="pct"/>
            <w:noWrap/>
            <w:vAlign w:val="center"/>
          </w:tcPr>
          <w:p w14:paraId="59E533C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966" w:type="dxa"/>
            <w:noWrap/>
            <w:vAlign w:val="center"/>
          </w:tcPr>
          <w:p w14:paraId="55DF7B0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42" w:type="pct"/>
            <w:noWrap/>
            <w:vAlign w:val="center"/>
          </w:tcPr>
          <w:p w14:paraId="07FF9B6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76E0DF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ign w:val="center"/>
          </w:tcPr>
          <w:p w14:paraId="077AC40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pH值</w:t>
            </w:r>
          </w:p>
        </w:tc>
        <w:tc>
          <w:tcPr>
            <w:tcW w:w="1203" w:type="pct"/>
            <w:noWrap/>
            <w:vAlign w:val="center"/>
          </w:tcPr>
          <w:p w14:paraId="7CBA840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966" w:type="dxa"/>
            <w:noWrap/>
            <w:vAlign w:val="center"/>
          </w:tcPr>
          <w:p w14:paraId="54E04FD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42" w:type="pct"/>
            <w:noWrap/>
            <w:vAlign w:val="center"/>
          </w:tcPr>
          <w:p w14:paraId="6C2072F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1EDE36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ign w:val="center"/>
          </w:tcPr>
          <w:p w14:paraId="31ADA94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重金属含量</w:t>
            </w:r>
          </w:p>
        </w:tc>
        <w:tc>
          <w:tcPr>
            <w:tcW w:w="1203" w:type="pct"/>
            <w:noWrap/>
            <w:vAlign w:val="center"/>
          </w:tcPr>
          <w:p w14:paraId="59F4F39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966" w:type="dxa"/>
            <w:noWrap/>
            <w:vAlign w:val="center"/>
          </w:tcPr>
          <w:p w14:paraId="6E87F79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42" w:type="pct"/>
            <w:noWrap/>
            <w:vAlign w:val="center"/>
          </w:tcPr>
          <w:p w14:paraId="7E0FF82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182698A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ign w:val="center"/>
          </w:tcPr>
          <w:p w14:paraId="180FB5DA">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有效土层厚度</w:t>
            </w:r>
          </w:p>
        </w:tc>
        <w:tc>
          <w:tcPr>
            <w:tcW w:w="1203" w:type="pct"/>
            <w:noWrap/>
            <w:vAlign w:val="center"/>
          </w:tcPr>
          <w:p w14:paraId="556DE2E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966" w:type="dxa"/>
            <w:noWrap/>
            <w:vAlign w:val="center"/>
          </w:tcPr>
          <w:p w14:paraId="690F0DD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42" w:type="pct"/>
            <w:noWrap/>
            <w:vAlign w:val="center"/>
          </w:tcPr>
          <w:p w14:paraId="1BC9CDB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3332AF3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ign w:val="center"/>
          </w:tcPr>
          <w:p w14:paraId="4B07F94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土壤质地</w:t>
            </w:r>
          </w:p>
        </w:tc>
        <w:tc>
          <w:tcPr>
            <w:tcW w:w="1203" w:type="pct"/>
            <w:noWrap/>
            <w:vAlign w:val="center"/>
          </w:tcPr>
          <w:p w14:paraId="6BACCBD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966" w:type="dxa"/>
            <w:noWrap/>
            <w:vAlign w:val="center"/>
          </w:tcPr>
          <w:p w14:paraId="710ECDF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42" w:type="pct"/>
            <w:noWrap/>
            <w:vAlign w:val="center"/>
          </w:tcPr>
          <w:p w14:paraId="56D4E57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4CC326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ign w:val="center"/>
          </w:tcPr>
          <w:p w14:paraId="77265C5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土壤砾石含量</w:t>
            </w:r>
          </w:p>
        </w:tc>
        <w:tc>
          <w:tcPr>
            <w:tcW w:w="1203" w:type="pct"/>
            <w:noWrap/>
            <w:vAlign w:val="center"/>
          </w:tcPr>
          <w:p w14:paraId="3CCB390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966" w:type="dxa"/>
            <w:noWrap/>
            <w:vAlign w:val="center"/>
          </w:tcPr>
          <w:p w14:paraId="1E1C50A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42" w:type="pct"/>
            <w:noWrap/>
            <w:vAlign w:val="center"/>
          </w:tcPr>
          <w:p w14:paraId="2CA6B99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340F71B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ign w:val="center"/>
          </w:tcPr>
          <w:p w14:paraId="1FA6612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土壤容重（压实）</w:t>
            </w:r>
          </w:p>
        </w:tc>
        <w:tc>
          <w:tcPr>
            <w:tcW w:w="1203" w:type="pct"/>
            <w:noWrap/>
            <w:vAlign w:val="center"/>
          </w:tcPr>
          <w:p w14:paraId="72D8842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966" w:type="dxa"/>
            <w:noWrap/>
            <w:vAlign w:val="center"/>
          </w:tcPr>
          <w:p w14:paraId="40C66F8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42" w:type="pct"/>
            <w:noWrap/>
            <w:vAlign w:val="center"/>
          </w:tcPr>
          <w:p w14:paraId="6B379ED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1DD175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ign w:val="center"/>
          </w:tcPr>
          <w:p w14:paraId="5C9AF712">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有机质</w:t>
            </w:r>
          </w:p>
        </w:tc>
        <w:tc>
          <w:tcPr>
            <w:tcW w:w="1203" w:type="pct"/>
            <w:noWrap/>
            <w:vAlign w:val="center"/>
          </w:tcPr>
          <w:p w14:paraId="305BF2CA">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966" w:type="dxa"/>
            <w:noWrap/>
            <w:vAlign w:val="center"/>
          </w:tcPr>
          <w:p w14:paraId="2D1590A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42" w:type="pct"/>
            <w:noWrap/>
            <w:vAlign w:val="center"/>
          </w:tcPr>
          <w:p w14:paraId="6FC3C3A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5D9CCD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ign w:val="center"/>
          </w:tcPr>
          <w:p w14:paraId="1B7EE0A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全氮</w:t>
            </w:r>
          </w:p>
        </w:tc>
        <w:tc>
          <w:tcPr>
            <w:tcW w:w="1203" w:type="pct"/>
            <w:noWrap/>
            <w:vAlign w:val="center"/>
          </w:tcPr>
          <w:p w14:paraId="2B4C285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966" w:type="dxa"/>
            <w:noWrap/>
            <w:vAlign w:val="center"/>
          </w:tcPr>
          <w:p w14:paraId="1CE4F58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42" w:type="pct"/>
            <w:noWrap/>
            <w:vAlign w:val="center"/>
          </w:tcPr>
          <w:p w14:paraId="6542D9E2">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7148A51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ign w:val="center"/>
          </w:tcPr>
          <w:p w14:paraId="398DA1B2">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有效磷</w:t>
            </w:r>
          </w:p>
        </w:tc>
        <w:tc>
          <w:tcPr>
            <w:tcW w:w="1203" w:type="pct"/>
            <w:noWrap/>
            <w:vAlign w:val="center"/>
          </w:tcPr>
          <w:p w14:paraId="57E1F1F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966" w:type="dxa"/>
            <w:noWrap/>
            <w:vAlign w:val="center"/>
          </w:tcPr>
          <w:p w14:paraId="53E78EC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42" w:type="pct"/>
            <w:noWrap/>
            <w:vAlign w:val="center"/>
          </w:tcPr>
          <w:p w14:paraId="50441F7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584E53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ign w:val="center"/>
          </w:tcPr>
          <w:p w14:paraId="50BBA3DA">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有效钾</w:t>
            </w:r>
          </w:p>
        </w:tc>
        <w:tc>
          <w:tcPr>
            <w:tcW w:w="1203" w:type="pct"/>
            <w:noWrap/>
            <w:vAlign w:val="center"/>
          </w:tcPr>
          <w:p w14:paraId="76820172">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966" w:type="dxa"/>
            <w:noWrap/>
            <w:vAlign w:val="center"/>
          </w:tcPr>
          <w:p w14:paraId="17D2133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42" w:type="pct"/>
            <w:noWrap/>
            <w:vAlign w:val="center"/>
          </w:tcPr>
          <w:p w14:paraId="53C4E5A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bl>
    <w:p w14:paraId="7A3F83CE">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（2）复垦效果监测</w:t>
      </w:r>
    </w:p>
    <w:p w14:paraId="783CB7B2">
      <w:pPr>
        <w:pStyle w:val="178"/>
        <w:topLinePunct/>
        <w:rPr>
          <w:rFonts w:ascii="Times New Roman" w:hAnsi="Times New Roman" w:cs="Times New Roman"/>
          <w:color w:val="000000" w:themeColor="text1"/>
        </w:rPr>
      </w:pPr>
      <w:r>
        <w:rPr>
          <w:rFonts w:ascii="Times New Roman" w:hAnsi="Times New Roman" w:cs="Times New Roman"/>
          <w:color w:val="000000" w:themeColor="text1"/>
        </w:rPr>
        <w:t>监测对象：复垦区域。</w:t>
      </w:r>
    </w:p>
    <w:p w14:paraId="4B8B772D">
      <w:pPr>
        <w:pStyle w:val="178"/>
        <w:topLinePunct/>
        <w:rPr>
          <w:rFonts w:ascii="Times New Roman" w:hAnsi="Times New Roman" w:cs="Times New Roman"/>
          <w:color w:val="000000" w:themeColor="text1"/>
        </w:rPr>
      </w:pPr>
      <w:r>
        <w:rPr>
          <w:rFonts w:ascii="Times New Roman" w:hAnsi="Times New Roman" w:cs="Times New Roman"/>
          <w:color w:val="000000" w:themeColor="text1"/>
        </w:rPr>
        <w:t>监测内容：植物生长势、高度、成活率、郁闭度、种植密度等。</w:t>
      </w:r>
    </w:p>
    <w:p w14:paraId="0095D747">
      <w:pPr>
        <w:pStyle w:val="178"/>
        <w:topLinePunct/>
        <w:rPr>
          <w:rFonts w:ascii="Times New Roman" w:hAnsi="Times New Roman" w:cs="Times New Roman"/>
          <w:color w:val="000000" w:themeColor="text1"/>
        </w:rPr>
      </w:pPr>
      <w:r>
        <w:rPr>
          <w:rFonts w:ascii="Times New Roman" w:hAnsi="Times New Roman" w:cs="Times New Roman"/>
          <w:color w:val="000000" w:themeColor="text1"/>
        </w:rPr>
        <w:t>监测方法：本方案采用样方随机调查法。</w:t>
      </w:r>
    </w:p>
    <w:p w14:paraId="453B8A57">
      <w:pPr>
        <w:pStyle w:val="178"/>
        <w:topLinePunct/>
        <w:rPr>
          <w:rFonts w:ascii="Times New Roman" w:hAnsi="Times New Roman" w:cs="Times New Roman"/>
          <w:color w:val="000000" w:themeColor="text1"/>
        </w:rPr>
      </w:pPr>
      <w:r>
        <w:rPr>
          <w:rFonts w:ascii="Times New Roman" w:hAnsi="Times New Roman" w:cs="Times New Roman"/>
          <w:color w:val="000000" w:themeColor="text1"/>
        </w:rPr>
        <w:t>监测频率：每年1次，持续3年，详见表5-2复垦林地植被恢复监测方案表。</w:t>
      </w:r>
    </w:p>
    <w:p w14:paraId="710F2897">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表5-2 复垦林地植被恢复监测方案表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2161"/>
        <w:gridCol w:w="2173"/>
        <w:gridCol w:w="1944"/>
        <w:gridCol w:w="2822"/>
      </w:tblGrid>
      <w:tr w14:paraId="694839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ign w:val="center"/>
          </w:tcPr>
          <w:p w14:paraId="3CDC7BE7">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监测内容</w:t>
            </w:r>
          </w:p>
        </w:tc>
        <w:tc>
          <w:tcPr>
            <w:tcW w:w="1194" w:type="pct"/>
            <w:noWrap/>
            <w:vAlign w:val="center"/>
          </w:tcPr>
          <w:p w14:paraId="1C2A8CF3">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监测频次（次/年）</w:t>
            </w:r>
          </w:p>
        </w:tc>
        <w:tc>
          <w:tcPr>
            <w:tcW w:w="1066" w:type="pct"/>
            <w:noWrap/>
            <w:vAlign w:val="center"/>
          </w:tcPr>
          <w:p w14:paraId="7A897B9D">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监测点数量（个）</w:t>
            </w:r>
          </w:p>
        </w:tc>
        <w:tc>
          <w:tcPr>
            <w:tcW w:w="1550" w:type="pct"/>
            <w:noWrap/>
            <w:vAlign w:val="center"/>
          </w:tcPr>
          <w:p w14:paraId="270F4265">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样点持续监测时间（年）</w:t>
            </w:r>
          </w:p>
        </w:tc>
      </w:tr>
      <w:tr w14:paraId="658042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ign w:val="center"/>
          </w:tcPr>
          <w:p w14:paraId="4BF4D152">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植物生长势</w:t>
            </w:r>
          </w:p>
        </w:tc>
        <w:tc>
          <w:tcPr>
            <w:tcW w:w="1194" w:type="pct"/>
            <w:noWrap/>
            <w:vAlign w:val="center"/>
          </w:tcPr>
          <w:p w14:paraId="2380F19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066" w:type="pct"/>
            <w:noWrap/>
            <w:vAlign w:val="center"/>
          </w:tcPr>
          <w:p w14:paraId="540C514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50" w:type="pct"/>
            <w:noWrap/>
            <w:vAlign w:val="center"/>
          </w:tcPr>
          <w:p w14:paraId="5E93349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0D2E0D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ign w:val="center"/>
          </w:tcPr>
          <w:p w14:paraId="4078B1A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高度</w:t>
            </w:r>
          </w:p>
        </w:tc>
        <w:tc>
          <w:tcPr>
            <w:tcW w:w="1194" w:type="pct"/>
            <w:noWrap/>
            <w:vAlign w:val="center"/>
          </w:tcPr>
          <w:p w14:paraId="12CD3D4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066" w:type="pct"/>
            <w:noWrap/>
            <w:vAlign w:val="center"/>
          </w:tcPr>
          <w:p w14:paraId="4FCBAE8D">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50" w:type="pct"/>
            <w:noWrap/>
            <w:vAlign w:val="center"/>
          </w:tcPr>
          <w:p w14:paraId="61885A0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7FE318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ign w:val="center"/>
          </w:tcPr>
          <w:p w14:paraId="25B0A47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成活率</w:t>
            </w:r>
          </w:p>
        </w:tc>
        <w:tc>
          <w:tcPr>
            <w:tcW w:w="1194" w:type="pct"/>
            <w:noWrap/>
            <w:vAlign w:val="center"/>
          </w:tcPr>
          <w:p w14:paraId="7CDED05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066" w:type="pct"/>
            <w:noWrap/>
            <w:vAlign w:val="center"/>
          </w:tcPr>
          <w:p w14:paraId="58FAD70D">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50" w:type="pct"/>
            <w:noWrap/>
            <w:vAlign w:val="center"/>
          </w:tcPr>
          <w:p w14:paraId="2D0D365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2FC4C4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ign w:val="center"/>
          </w:tcPr>
          <w:p w14:paraId="3A0D39EA">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郁闭度</w:t>
            </w:r>
          </w:p>
        </w:tc>
        <w:tc>
          <w:tcPr>
            <w:tcW w:w="1194" w:type="pct"/>
            <w:noWrap/>
            <w:vAlign w:val="center"/>
          </w:tcPr>
          <w:p w14:paraId="7021C8D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066" w:type="pct"/>
            <w:noWrap/>
            <w:vAlign w:val="center"/>
          </w:tcPr>
          <w:p w14:paraId="6F8CD45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50" w:type="pct"/>
            <w:noWrap/>
            <w:vAlign w:val="center"/>
          </w:tcPr>
          <w:p w14:paraId="2FCE27B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r w14:paraId="43233A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ign w:val="center"/>
          </w:tcPr>
          <w:p w14:paraId="2263777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种植密度</w:t>
            </w:r>
          </w:p>
        </w:tc>
        <w:tc>
          <w:tcPr>
            <w:tcW w:w="1194" w:type="pct"/>
            <w:noWrap/>
            <w:vAlign w:val="center"/>
          </w:tcPr>
          <w:p w14:paraId="3EF2F0A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066" w:type="pct"/>
            <w:noWrap/>
            <w:vAlign w:val="center"/>
          </w:tcPr>
          <w:p w14:paraId="63381DD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50" w:type="pct"/>
            <w:noWrap/>
            <w:vAlign w:val="center"/>
          </w:tcPr>
          <w:p w14:paraId="7E70B73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r>
    </w:tbl>
    <w:p w14:paraId="01279049">
      <w:pPr>
        <w:pStyle w:val="178"/>
        <w:topLinePunct/>
        <w:rPr>
          <w:rFonts w:ascii="Times New Roman" w:hAnsi="Times New Roman" w:cs="Times New Roman"/>
          <w:color w:val="000000" w:themeColor="text1"/>
          <w:highlight w:val="yellow"/>
        </w:rPr>
      </w:pP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矿山地质环境监测、土地资源监测、生态系统监测工程量见下表：</w:t>
      </w:r>
    </w:p>
    <w:p w14:paraId="612013C7">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表5-3 矿山地质环境监测工程量</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2721"/>
        <w:gridCol w:w="2466"/>
        <w:gridCol w:w="2320"/>
        <w:gridCol w:w="1593"/>
      </w:tblGrid>
      <w:tr w14:paraId="19D1BBB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blHeader/>
          <w:jc w:val="center"/>
        </w:trPr>
        <w:tc>
          <w:tcPr>
            <w:tcW w:w="1501" w:type="pct"/>
            <w:noWrap/>
            <w:vAlign w:val="center"/>
          </w:tcPr>
          <w:p w14:paraId="7488C436">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监测内容</w:t>
            </w:r>
          </w:p>
        </w:tc>
        <w:tc>
          <w:tcPr>
            <w:tcW w:w="1361" w:type="pct"/>
            <w:noWrap/>
            <w:vAlign w:val="center"/>
          </w:tcPr>
          <w:p w14:paraId="283F1B38">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监测频率</w:t>
            </w:r>
          </w:p>
        </w:tc>
        <w:tc>
          <w:tcPr>
            <w:tcW w:w="1281" w:type="pct"/>
            <w:noWrap/>
            <w:vAlign w:val="center"/>
          </w:tcPr>
          <w:p w14:paraId="224474FB">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监测点数量（个）</w:t>
            </w:r>
          </w:p>
        </w:tc>
        <w:tc>
          <w:tcPr>
            <w:tcW w:w="857" w:type="pct"/>
            <w:noWrap/>
            <w:vAlign w:val="center"/>
          </w:tcPr>
          <w:p w14:paraId="4CD04188">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工程量（次）</w:t>
            </w:r>
          </w:p>
        </w:tc>
      </w:tr>
      <w:tr w14:paraId="34FC16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ign w:val="center"/>
          </w:tcPr>
          <w:p w14:paraId="252F7F7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地质灾害监测</w:t>
            </w:r>
          </w:p>
        </w:tc>
        <w:tc>
          <w:tcPr>
            <w:tcW w:w="1361" w:type="pct"/>
            <w:noWrap/>
            <w:vAlign w:val="center"/>
          </w:tcPr>
          <w:p w14:paraId="2FADE6AC">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1次/月</w:t>
            </w:r>
          </w:p>
        </w:tc>
        <w:tc>
          <w:tcPr>
            <w:tcW w:w="1281" w:type="pct"/>
            <w:noWrap/>
            <w:vAlign w:val="center"/>
          </w:tcPr>
          <w:p w14:paraId="7BAA8E82">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92" w:type="dxa"/>
            <w:noWrap/>
            <w:vAlign w:val="center"/>
          </w:tcPr>
          <w:p w14:paraId="53C33790">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1248</w:t>
            </w:r>
          </w:p>
        </w:tc>
      </w:tr>
      <w:tr w14:paraId="2DA90DB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ign w:val="center"/>
          </w:tcPr>
          <w:p w14:paraId="2E15A63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地表水监测</w:t>
            </w:r>
          </w:p>
        </w:tc>
        <w:tc>
          <w:tcPr>
            <w:tcW w:w="1361" w:type="pct"/>
            <w:noWrap/>
            <w:vAlign w:val="center"/>
          </w:tcPr>
          <w:p w14:paraId="482510A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汛期6-9月份2次/月</w:t>
            </w:r>
          </w:p>
        </w:tc>
        <w:tc>
          <w:tcPr>
            <w:tcW w:w="1281" w:type="pct"/>
            <w:noWrap/>
            <w:vAlign w:val="center"/>
          </w:tcPr>
          <w:p w14:paraId="4C5191B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592" w:type="dxa"/>
            <w:noWrap/>
            <w:vAlign w:val="center"/>
          </w:tcPr>
          <w:p w14:paraId="46BDD6EA">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416</w:t>
            </w:r>
          </w:p>
        </w:tc>
      </w:tr>
      <w:tr w14:paraId="47EF6B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ign w:val="center"/>
          </w:tcPr>
          <w:p w14:paraId="5899026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地形地貌景观监测</w:t>
            </w:r>
          </w:p>
        </w:tc>
        <w:tc>
          <w:tcPr>
            <w:tcW w:w="1361" w:type="pct"/>
            <w:noWrap/>
            <w:vAlign w:val="center"/>
          </w:tcPr>
          <w:p w14:paraId="044FC85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2次/年</w:t>
            </w:r>
          </w:p>
        </w:tc>
        <w:tc>
          <w:tcPr>
            <w:tcW w:w="1281" w:type="pct"/>
            <w:noWrap/>
            <w:vAlign w:val="center"/>
          </w:tcPr>
          <w:p w14:paraId="5964C56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592" w:type="dxa"/>
            <w:noWrap/>
            <w:vAlign w:val="center"/>
          </w:tcPr>
          <w:p w14:paraId="6168F71C">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104</w:t>
            </w:r>
          </w:p>
        </w:tc>
      </w:tr>
      <w:tr w14:paraId="1DF261A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ign w:val="center"/>
          </w:tcPr>
          <w:p w14:paraId="3D1A682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土壤质量监测</w:t>
            </w:r>
          </w:p>
        </w:tc>
        <w:tc>
          <w:tcPr>
            <w:tcW w:w="1361" w:type="pct"/>
            <w:noWrap/>
            <w:vAlign w:val="center"/>
          </w:tcPr>
          <w:p w14:paraId="79AFF5D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1次/年</w:t>
            </w:r>
          </w:p>
        </w:tc>
        <w:tc>
          <w:tcPr>
            <w:tcW w:w="1281" w:type="pct"/>
            <w:noWrap/>
            <w:vAlign w:val="center"/>
          </w:tcPr>
          <w:p w14:paraId="7D3B0C0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92" w:type="dxa"/>
            <w:noWrap/>
            <w:vAlign w:val="center"/>
          </w:tcPr>
          <w:p w14:paraId="0925F8D7">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w:t>
            </w:r>
          </w:p>
        </w:tc>
      </w:tr>
      <w:tr w14:paraId="1868FD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ign w:val="center"/>
          </w:tcPr>
          <w:p w14:paraId="6870039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复垦效果监测</w:t>
            </w:r>
          </w:p>
        </w:tc>
        <w:tc>
          <w:tcPr>
            <w:tcW w:w="1361" w:type="pct"/>
            <w:noWrap/>
            <w:vAlign w:val="center"/>
          </w:tcPr>
          <w:p w14:paraId="6E00FAA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1次/年</w:t>
            </w:r>
          </w:p>
        </w:tc>
        <w:tc>
          <w:tcPr>
            <w:tcW w:w="1281" w:type="pct"/>
            <w:noWrap/>
            <w:vAlign w:val="center"/>
          </w:tcPr>
          <w:p w14:paraId="5FDB35F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92" w:type="dxa"/>
            <w:noWrap/>
            <w:vAlign w:val="center"/>
          </w:tcPr>
          <w:p w14:paraId="64EDB6BD">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w:t>
            </w:r>
          </w:p>
        </w:tc>
      </w:tr>
    </w:tbl>
    <w:p w14:paraId="3817B752">
      <w:pPr>
        <w:pStyle w:val="174"/>
        <w:topLinePunct/>
        <w:rPr>
          <w:rFonts w:ascii="Times New Roman" w:hAnsi="Times New Roman" w:cs="Times New Roman"/>
          <w:color w:val="000000" w:themeColor="text1"/>
          <w:sz w:val="28"/>
          <w:szCs w:val="28"/>
        </w:rPr>
      </w:pPr>
      <w:bookmarkStart w:id="35" w:name="_Toc26465"/>
      <w:r>
        <w:rPr>
          <w:rFonts w:ascii="Times New Roman" w:hAnsi="Times New Roman" w:cs="Times New Roman"/>
          <w:color w:val="000000" w:themeColor="text1"/>
          <w:sz w:val="28"/>
          <w:szCs w:val="28"/>
        </w:rPr>
        <w:t>二、管护目标与措施</w:t>
      </w:r>
      <w:bookmarkEnd w:id="35"/>
    </w:p>
    <w:p w14:paraId="12B86C75">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（一）目标任务</w:t>
      </w:r>
    </w:p>
    <w:p w14:paraId="16774CB9">
      <w:pPr>
        <w:pStyle w:val="178"/>
        <w:topLinePunct/>
        <w:rPr>
          <w:rFonts w:ascii="Times New Roman" w:hAnsi="Times New Roman" w:cs="Times New Roman"/>
          <w:color w:val="000000" w:themeColor="text1"/>
        </w:rPr>
      </w:pPr>
      <w:r>
        <w:rPr>
          <w:rFonts w:ascii="Times New Roman" w:hAnsi="Times New Roman" w:cs="Times New Roman"/>
          <w:color w:val="000000" w:themeColor="text1"/>
        </w:rPr>
        <w:t>建立健全矿区生态修复管护体制，明确生态修复管护措施及管护时间，保证生态修复区生态修复效果。</w:t>
      </w:r>
    </w:p>
    <w:p w14:paraId="379E3D81">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（二）管护措施</w:t>
      </w:r>
    </w:p>
    <w:p w14:paraId="585482DE">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1、灌溉施肥措施</w:t>
      </w:r>
    </w:p>
    <w:p w14:paraId="15CCAEC2">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气候属寒温带季风气候，冬季漫长，严寒少雪；夏季短促，温热多雨；秋季多雨降温迅速，年平均降水量为585.5mm。降水多集中在6、7、8三个月份，占全年降水量的54.2%。夏季能够满足植物生长的需求，不需设计专门的灌溉管道等装置。植物种植及移栽第一年，为增加植物的成活率需一定的灌溉施肥措施，采用水车拉水灌溉的方式，在种植或栽植后当时以及之后定期灌溉，二年之后可以转为完全依靠自然降水。</w:t>
      </w:r>
    </w:p>
    <w:p w14:paraId="5A86EA59">
      <w:pPr>
        <w:pStyle w:val="178"/>
        <w:topLinePunct/>
        <w:rPr>
          <w:rFonts w:ascii="Times New Roman" w:hAnsi="Times New Roman" w:cs="Times New Roman"/>
          <w:color w:val="000000" w:themeColor="text1"/>
        </w:rPr>
      </w:pPr>
      <w:r>
        <w:rPr>
          <w:rFonts w:ascii="Times New Roman" w:hAnsi="Times New Roman" w:cs="Times New Roman"/>
          <w:color w:val="000000" w:themeColor="text1"/>
        </w:rPr>
        <w:t>不同植物种植时可以适当施以不同量的化肥做底肥，之后土壤中的营养物质基本能够满足植物生长需要，为提高植物的长势，可采取追肥措施。</w:t>
      </w:r>
    </w:p>
    <w:p w14:paraId="6E6D2B00">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2、幼林抚育及病虫害防治措施</w:t>
      </w:r>
    </w:p>
    <w:p w14:paraId="1E77D2FB">
      <w:pPr>
        <w:pStyle w:val="178"/>
        <w:topLinePunct/>
        <w:rPr>
          <w:rFonts w:ascii="Times New Roman" w:hAnsi="Times New Roman" w:cs="Times New Roman"/>
          <w:color w:val="000000" w:themeColor="text1"/>
        </w:rPr>
      </w:pPr>
      <w:r>
        <w:rPr>
          <w:rFonts w:ascii="Times New Roman" w:hAnsi="Times New Roman" w:cs="Times New Roman"/>
          <w:color w:val="000000" w:themeColor="text1"/>
        </w:rPr>
        <w:t>幼林抚育工作应在春末进行，以免造成水土流失。具体抚育措施为实时的进行劈灌、锄草、松土、培土、施肥等。严禁打枝，保护林下植被和枯枝落叶，以达到保持和改良土壤，提高肥力的作用。</w:t>
      </w:r>
    </w:p>
    <w:p w14:paraId="384FAFB8">
      <w:pPr>
        <w:pStyle w:val="178"/>
        <w:topLinePunct/>
        <w:rPr>
          <w:rFonts w:ascii="Times New Roman" w:hAnsi="Times New Roman" w:cs="Times New Roman"/>
          <w:color w:val="000000" w:themeColor="text1"/>
        </w:rPr>
      </w:pPr>
      <w:r>
        <w:rPr>
          <w:rFonts w:ascii="Times New Roman" w:hAnsi="Times New Roman" w:cs="Times New Roman"/>
          <w:color w:val="000000" w:themeColor="text1"/>
        </w:rPr>
        <w:t>病虫害防治以预防为主，特别是幼林阶段，需针对不同植物易染病虫害种类（如褐斑病、煤烟病等病虫危害），掌握病虫害发生规律，及时采取适宜的药物进行预防治疗，疏林补密，轮流封禁，保持郁闭。</w:t>
      </w:r>
    </w:p>
    <w:p w14:paraId="48203708">
      <w:pPr>
        <w:pStyle w:val="178"/>
        <w:topLinePunct/>
        <w:rPr>
          <w:rFonts w:ascii="Times New Roman" w:hAnsi="Times New Roman" w:cs="Times New Roman"/>
          <w:color w:val="000000" w:themeColor="text1"/>
        </w:rPr>
      </w:pPr>
      <w:r>
        <w:rPr>
          <w:rFonts w:ascii="Times New Roman" w:hAnsi="Times New Roman" w:cs="Times New Roman"/>
          <w:color w:val="000000" w:themeColor="text1"/>
        </w:rPr>
        <w:t>3、补种加种等管护措施</w:t>
      </w:r>
    </w:p>
    <w:p w14:paraId="61632526">
      <w:pPr>
        <w:pStyle w:val="178"/>
        <w:topLinePunct/>
        <w:rPr>
          <w:rFonts w:ascii="Times New Roman" w:hAnsi="Times New Roman" w:cs="Times New Roman"/>
          <w:color w:val="000000" w:themeColor="text1"/>
        </w:rPr>
      </w:pPr>
      <w:r>
        <w:rPr>
          <w:rFonts w:ascii="Times New Roman" w:hAnsi="Times New Roman" w:cs="Times New Roman"/>
          <w:color w:val="000000" w:themeColor="text1"/>
        </w:rPr>
        <w:t>种植后的一两个月内需要对栽植区域进行补植，确保成活率，以保证能够植被尽快覆盖地表，减少水土流失的可能。</w:t>
      </w:r>
    </w:p>
    <w:p w14:paraId="2BF3EC0E">
      <w:pPr>
        <w:pStyle w:val="178"/>
        <w:topLinePunct/>
        <w:rPr>
          <w:rFonts w:ascii="Times New Roman" w:hAnsi="Times New Roman" w:cs="Times New Roman"/>
          <w:color w:val="000000" w:themeColor="text1"/>
        </w:rPr>
      </w:pPr>
      <w:r>
        <w:rPr>
          <w:rFonts w:ascii="Times New Roman" w:hAnsi="Times New Roman" w:cs="Times New Roman"/>
          <w:color w:val="000000" w:themeColor="text1"/>
        </w:rPr>
        <w:t>区域复垦后的植被为人造植被，虽在选择植物种类以及进行搭配的过程中尽量趋于合理，但是与自然植被相比仍有较多不足，因此复垦后进行封育管护，在项目区选择有代表性的地点设立长期可视的封育管理宣传牌，严禁放牧、捕杀动物等损毁林地和损毁森林的行为，聘请护林员等措施，切实保护、维护好复垦区的生态环境，以增加区域生物多样性，使其生态环境趋于合理。管护措施</w:t>
      </w:r>
    </w:p>
    <w:p w14:paraId="569AB68C">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在复垦工程结束后，由当地政府与土地使用人签订后期管护合同，明确管护范围、管护内容、管护期限、双方的权利与义务、奖惩细则等事项，切实加强管护力度，细化管护要求，防止因自然或人为因素对复垦区造成二次破坏。</w:t>
      </w:r>
    </w:p>
    <w:p w14:paraId="557D9B39">
      <w:pPr>
        <w:pStyle w:val="178"/>
        <w:topLinePunct/>
        <w:rPr>
          <w:rFonts w:ascii="Times New Roman" w:hAnsi="Times New Roman" w:cs="Times New Roman"/>
          <w:color w:val="000000" w:themeColor="text1"/>
        </w:rPr>
      </w:pPr>
      <w:r>
        <w:rPr>
          <w:rFonts w:ascii="Times New Roman" w:hAnsi="Times New Roman" w:cs="Times New Roman"/>
          <w:color w:val="000000" w:themeColor="text1"/>
        </w:rPr>
        <w:t>管护期为复垦完成后的3年，管护面积</w:t>
      </w:r>
      <w:r>
        <w:rPr>
          <w:rFonts w:hint="eastAsia" w:ascii="Times New Roman" w:hAnsi="Times New Roman" w:cs="Times New Roman"/>
          <w:color w:val="000000" w:themeColor="text1"/>
        </w:rPr>
        <w:t>12.54</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w:t>
      </w:r>
    </w:p>
    <w:p w14:paraId="3F82AF64">
      <w:pPr>
        <w:pStyle w:val="174"/>
        <w:topLinePunct/>
        <w:rPr>
          <w:rFonts w:ascii="Times New Roman" w:hAnsi="Times New Roman" w:cs="Times New Roman"/>
          <w:color w:val="000000" w:themeColor="text1"/>
          <w:sz w:val="28"/>
          <w:szCs w:val="28"/>
        </w:rPr>
      </w:pPr>
      <w:bookmarkStart w:id="36" w:name="_Toc19783"/>
      <w:r>
        <w:rPr>
          <w:rFonts w:ascii="Times New Roman" w:hAnsi="Times New Roman" w:cs="Times New Roman"/>
          <w:color w:val="000000" w:themeColor="text1"/>
          <w:sz w:val="28"/>
          <w:szCs w:val="28"/>
        </w:rPr>
        <w:t>三、工程量</w:t>
      </w:r>
      <w:bookmarkEnd w:id="36"/>
    </w:p>
    <w:p w14:paraId="2D98B8BE">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根据监测与管护工程设计，</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矿山地质环境监测、土地资源监测、生态系统监测、管护措施工程量见下表。</w:t>
      </w:r>
    </w:p>
    <w:p w14:paraId="1BF0AF5C">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表5-</w:t>
      </w:r>
      <w:r>
        <w:rPr>
          <w:rFonts w:hint="eastAsia" w:ascii="Times New Roman" w:hAnsi="Times New Roman"/>
          <w:color w:val="000000" w:themeColor="text1"/>
          <w:lang w:val="en-US" w:eastAsia="zh-CN"/>
        </w:rPr>
        <w:t xml:space="preserve">4 </w:t>
      </w:r>
      <w:r>
        <w:rPr>
          <w:rFonts w:ascii="Times New Roman" w:hAnsi="Times New Roman"/>
          <w:color w:val="000000" w:themeColor="text1"/>
        </w:rPr>
        <w:t>监测与管护工程量统计表</w:t>
      </w:r>
    </w:p>
    <w:tbl>
      <w:tblPr>
        <w:tblStyle w:val="42"/>
        <w:tblW w:w="5023"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1" w:type="dxa"/>
          <w:left w:w="11" w:type="dxa"/>
          <w:bottom w:w="11" w:type="dxa"/>
          <w:right w:w="11" w:type="dxa"/>
        </w:tblCellMar>
      </w:tblPr>
      <w:tblGrid>
        <w:gridCol w:w="754"/>
        <w:gridCol w:w="2337"/>
        <w:gridCol w:w="902"/>
        <w:gridCol w:w="1127"/>
        <w:gridCol w:w="4022"/>
      </w:tblGrid>
      <w:tr w14:paraId="2D6B918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69592337">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序号</w:t>
            </w:r>
          </w:p>
        </w:tc>
        <w:tc>
          <w:tcPr>
            <w:tcW w:w="2335" w:type="dxa"/>
            <w:tcBorders>
              <w:tl2br w:val="nil"/>
              <w:tr2bl w:val="nil"/>
            </w:tcBorders>
            <w:vAlign w:val="center"/>
          </w:tcPr>
          <w:p w14:paraId="3E5890C3">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工程名称</w:t>
            </w:r>
          </w:p>
        </w:tc>
        <w:tc>
          <w:tcPr>
            <w:tcW w:w="901" w:type="dxa"/>
            <w:tcBorders>
              <w:tl2br w:val="nil"/>
              <w:tr2bl w:val="nil"/>
            </w:tcBorders>
            <w:vAlign w:val="center"/>
          </w:tcPr>
          <w:p w14:paraId="488CC9DF">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单位</w:t>
            </w:r>
          </w:p>
        </w:tc>
        <w:tc>
          <w:tcPr>
            <w:tcW w:w="1126" w:type="dxa"/>
            <w:tcBorders>
              <w:left w:val="single" w:color="auto" w:sz="4" w:space="0"/>
              <w:right w:val="single" w:color="auto" w:sz="4" w:space="0"/>
              <w:tl2br w:val="nil"/>
              <w:tr2bl w:val="nil"/>
            </w:tcBorders>
            <w:vAlign w:val="center"/>
          </w:tcPr>
          <w:p w14:paraId="287511E5">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工程量</w:t>
            </w:r>
          </w:p>
        </w:tc>
        <w:tc>
          <w:tcPr>
            <w:tcW w:w="4018" w:type="dxa"/>
            <w:tcBorders>
              <w:left w:val="single" w:color="auto" w:sz="4" w:space="0"/>
              <w:tl2br w:val="nil"/>
              <w:tr2bl w:val="nil"/>
            </w:tcBorders>
            <w:vAlign w:val="center"/>
          </w:tcPr>
          <w:p w14:paraId="2F8DDFE9">
            <w:pPr>
              <w:widowControl/>
              <w:snapToGrid w:val="0"/>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备注</w:t>
            </w:r>
          </w:p>
        </w:tc>
      </w:tr>
      <w:tr w14:paraId="55D8BD7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318405FB">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335" w:type="dxa"/>
            <w:tcBorders>
              <w:tl2br w:val="nil"/>
              <w:tr2bl w:val="nil"/>
            </w:tcBorders>
            <w:vAlign w:val="center"/>
          </w:tcPr>
          <w:p w14:paraId="65899D8A">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矿山地质环境监测</w:t>
            </w:r>
          </w:p>
        </w:tc>
        <w:tc>
          <w:tcPr>
            <w:tcW w:w="901" w:type="dxa"/>
            <w:tcBorders>
              <w:tl2br w:val="nil"/>
              <w:tr2bl w:val="nil"/>
            </w:tcBorders>
            <w:vAlign w:val="center"/>
          </w:tcPr>
          <w:p w14:paraId="45F2AD82">
            <w:pPr>
              <w:widowControl/>
              <w:snapToGrid w:val="0"/>
              <w:jc w:val="center"/>
              <w:rPr>
                <w:rFonts w:ascii="Times New Roman" w:hAnsi="Times New Roman" w:cs="Times New Roman"/>
                <w:color w:val="000000" w:themeColor="text1"/>
                <w:kern w:val="0"/>
                <w:sz w:val="24"/>
                <w:szCs w:val="24"/>
              </w:rPr>
            </w:pPr>
          </w:p>
        </w:tc>
        <w:tc>
          <w:tcPr>
            <w:tcW w:w="1126" w:type="dxa"/>
            <w:tcBorders>
              <w:left w:val="single" w:color="auto" w:sz="4" w:space="0"/>
              <w:right w:val="single" w:color="auto" w:sz="4" w:space="0"/>
              <w:tl2br w:val="nil"/>
              <w:tr2bl w:val="nil"/>
            </w:tcBorders>
            <w:vAlign w:val="center"/>
          </w:tcPr>
          <w:p w14:paraId="395D722E">
            <w:pPr>
              <w:widowControl/>
              <w:snapToGrid w:val="0"/>
              <w:jc w:val="center"/>
              <w:rPr>
                <w:rFonts w:ascii="Times New Roman" w:hAnsi="Times New Roman" w:cs="Times New Roman"/>
                <w:color w:val="000000" w:themeColor="text1"/>
                <w:kern w:val="0"/>
                <w:sz w:val="24"/>
                <w:szCs w:val="24"/>
              </w:rPr>
            </w:pPr>
          </w:p>
        </w:tc>
        <w:tc>
          <w:tcPr>
            <w:tcW w:w="4018" w:type="dxa"/>
            <w:tcBorders>
              <w:left w:val="single" w:color="auto" w:sz="4" w:space="0"/>
              <w:tl2br w:val="nil"/>
              <w:tr2bl w:val="nil"/>
            </w:tcBorders>
            <w:vAlign w:val="center"/>
          </w:tcPr>
          <w:p w14:paraId="005BF0D5">
            <w:pPr>
              <w:widowControl/>
              <w:snapToGrid w:val="0"/>
              <w:jc w:val="center"/>
              <w:rPr>
                <w:rFonts w:ascii="Times New Roman" w:hAnsi="Times New Roman" w:cs="Times New Roman"/>
                <w:color w:val="000000" w:themeColor="text1"/>
                <w:kern w:val="0"/>
                <w:sz w:val="24"/>
                <w:szCs w:val="24"/>
              </w:rPr>
            </w:pPr>
          </w:p>
        </w:tc>
      </w:tr>
      <w:tr w14:paraId="0A7A85F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5257CE9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335" w:type="dxa"/>
            <w:tcBorders>
              <w:tl2br w:val="nil"/>
              <w:tr2bl w:val="nil"/>
            </w:tcBorders>
            <w:vAlign w:val="center"/>
          </w:tcPr>
          <w:p w14:paraId="321EE6C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地质灾害监测</w:t>
            </w:r>
          </w:p>
        </w:tc>
        <w:tc>
          <w:tcPr>
            <w:tcW w:w="901" w:type="dxa"/>
            <w:tcBorders>
              <w:tl2br w:val="nil"/>
              <w:tr2bl w:val="nil"/>
            </w:tcBorders>
            <w:shd w:val="clear" w:color="auto" w:fill="auto"/>
            <w:vAlign w:val="center"/>
          </w:tcPr>
          <w:p w14:paraId="6598511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次</w:t>
            </w:r>
          </w:p>
        </w:tc>
        <w:tc>
          <w:tcPr>
            <w:tcW w:w="1126" w:type="dxa"/>
            <w:tcBorders>
              <w:left w:val="single" w:color="auto" w:sz="4" w:space="0"/>
              <w:right w:val="single" w:color="auto" w:sz="4" w:space="0"/>
              <w:tl2br w:val="nil"/>
              <w:tr2bl w:val="nil"/>
            </w:tcBorders>
            <w:vAlign w:val="center"/>
          </w:tcPr>
          <w:p w14:paraId="68C17F01">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1248</w:t>
            </w:r>
          </w:p>
        </w:tc>
        <w:tc>
          <w:tcPr>
            <w:tcW w:w="4018" w:type="dxa"/>
            <w:tcBorders>
              <w:left w:val="single" w:color="auto" w:sz="4" w:space="0"/>
              <w:tl2br w:val="nil"/>
              <w:tr2bl w:val="nil"/>
            </w:tcBorders>
            <w:shd w:val="clear" w:color="auto" w:fill="auto"/>
            <w:vAlign w:val="center"/>
          </w:tcPr>
          <w:p w14:paraId="33EE7DA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（1次/月×4点）×</w:t>
            </w:r>
            <w:r>
              <w:rPr>
                <w:rFonts w:hint="eastAsia" w:ascii="Times New Roman" w:hAnsi="Times New Roman" w:cs="Times New Roman"/>
                <w:color w:val="000000" w:themeColor="text1"/>
                <w:kern w:val="0"/>
                <w:sz w:val="24"/>
                <w:szCs w:val="24"/>
              </w:rPr>
              <w:t>26</w:t>
            </w:r>
            <w:r>
              <w:rPr>
                <w:rFonts w:ascii="Times New Roman" w:hAnsi="Times New Roman" w:cs="Times New Roman"/>
                <w:color w:val="000000" w:themeColor="text1"/>
                <w:kern w:val="0"/>
                <w:sz w:val="24"/>
                <w:szCs w:val="24"/>
              </w:rPr>
              <w:t>年</w:t>
            </w:r>
          </w:p>
        </w:tc>
      </w:tr>
      <w:tr w14:paraId="0CD9476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0FE93846">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335" w:type="dxa"/>
            <w:tcBorders>
              <w:tl2br w:val="nil"/>
              <w:tr2bl w:val="nil"/>
            </w:tcBorders>
            <w:vAlign w:val="center"/>
          </w:tcPr>
          <w:p w14:paraId="6EBE1D7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地表水监测</w:t>
            </w:r>
          </w:p>
        </w:tc>
        <w:tc>
          <w:tcPr>
            <w:tcW w:w="901" w:type="dxa"/>
            <w:tcBorders>
              <w:tl2br w:val="nil"/>
              <w:tr2bl w:val="nil"/>
            </w:tcBorders>
            <w:shd w:val="clear" w:color="auto" w:fill="auto"/>
            <w:vAlign w:val="center"/>
          </w:tcPr>
          <w:p w14:paraId="1920783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次</w:t>
            </w:r>
          </w:p>
        </w:tc>
        <w:tc>
          <w:tcPr>
            <w:tcW w:w="1126" w:type="dxa"/>
            <w:tcBorders>
              <w:left w:val="single" w:color="auto" w:sz="4" w:space="0"/>
              <w:right w:val="single" w:color="auto" w:sz="4" w:space="0"/>
              <w:tl2br w:val="nil"/>
              <w:tr2bl w:val="nil"/>
            </w:tcBorders>
            <w:vAlign w:val="center"/>
          </w:tcPr>
          <w:p w14:paraId="670FF578">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416</w:t>
            </w:r>
          </w:p>
        </w:tc>
        <w:tc>
          <w:tcPr>
            <w:tcW w:w="4018" w:type="dxa"/>
            <w:tcBorders>
              <w:left w:val="single" w:color="auto" w:sz="4" w:space="0"/>
              <w:tl2br w:val="nil"/>
              <w:tr2bl w:val="nil"/>
            </w:tcBorders>
            <w:shd w:val="clear" w:color="auto" w:fill="auto"/>
            <w:vAlign w:val="center"/>
          </w:tcPr>
          <w:p w14:paraId="5E48DD56">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（汛期6-9月份2次/月×2点）×</w:t>
            </w:r>
            <w:r>
              <w:rPr>
                <w:rFonts w:hint="eastAsia" w:ascii="Times New Roman" w:hAnsi="Times New Roman" w:cs="Times New Roman"/>
                <w:color w:val="000000" w:themeColor="text1"/>
                <w:kern w:val="0"/>
                <w:sz w:val="24"/>
                <w:szCs w:val="24"/>
              </w:rPr>
              <w:t>26</w:t>
            </w:r>
            <w:r>
              <w:rPr>
                <w:rFonts w:ascii="Times New Roman" w:hAnsi="Times New Roman" w:cs="Times New Roman"/>
                <w:color w:val="000000" w:themeColor="text1"/>
                <w:kern w:val="0"/>
                <w:sz w:val="24"/>
                <w:szCs w:val="24"/>
              </w:rPr>
              <w:t>年</w:t>
            </w:r>
          </w:p>
        </w:tc>
      </w:tr>
      <w:tr w14:paraId="11E6718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5E645CF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335" w:type="dxa"/>
            <w:tcBorders>
              <w:tl2br w:val="nil"/>
              <w:tr2bl w:val="nil"/>
            </w:tcBorders>
            <w:vAlign w:val="center"/>
          </w:tcPr>
          <w:p w14:paraId="0BA44D65">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土地资源监测</w:t>
            </w:r>
          </w:p>
        </w:tc>
        <w:tc>
          <w:tcPr>
            <w:tcW w:w="901" w:type="dxa"/>
            <w:tcBorders>
              <w:tl2br w:val="nil"/>
              <w:tr2bl w:val="nil"/>
            </w:tcBorders>
            <w:vAlign w:val="center"/>
          </w:tcPr>
          <w:p w14:paraId="29176AEA">
            <w:pPr>
              <w:widowControl/>
              <w:snapToGrid w:val="0"/>
              <w:jc w:val="center"/>
              <w:rPr>
                <w:rFonts w:ascii="Times New Roman" w:hAnsi="Times New Roman" w:cs="Times New Roman"/>
                <w:color w:val="000000" w:themeColor="text1"/>
                <w:kern w:val="0"/>
                <w:sz w:val="24"/>
                <w:szCs w:val="24"/>
              </w:rPr>
            </w:pPr>
          </w:p>
        </w:tc>
        <w:tc>
          <w:tcPr>
            <w:tcW w:w="1126" w:type="dxa"/>
            <w:tcBorders>
              <w:left w:val="single" w:color="auto" w:sz="4" w:space="0"/>
              <w:right w:val="single" w:color="auto" w:sz="4" w:space="0"/>
              <w:tl2br w:val="nil"/>
              <w:tr2bl w:val="nil"/>
            </w:tcBorders>
            <w:vAlign w:val="center"/>
          </w:tcPr>
          <w:p w14:paraId="57B6AAD7">
            <w:pPr>
              <w:widowControl/>
              <w:snapToGrid w:val="0"/>
              <w:jc w:val="center"/>
              <w:rPr>
                <w:rFonts w:ascii="Times New Roman" w:hAnsi="Times New Roman" w:cs="Times New Roman"/>
                <w:color w:val="000000" w:themeColor="text1"/>
                <w:kern w:val="0"/>
                <w:sz w:val="24"/>
                <w:szCs w:val="24"/>
              </w:rPr>
            </w:pPr>
          </w:p>
        </w:tc>
        <w:tc>
          <w:tcPr>
            <w:tcW w:w="4018" w:type="dxa"/>
            <w:tcBorders>
              <w:left w:val="single" w:color="auto" w:sz="4" w:space="0"/>
              <w:tl2br w:val="nil"/>
              <w:tr2bl w:val="nil"/>
            </w:tcBorders>
            <w:shd w:val="clear" w:color="auto" w:fill="auto"/>
            <w:vAlign w:val="center"/>
          </w:tcPr>
          <w:p w14:paraId="42E5FD88">
            <w:pPr>
              <w:widowControl/>
              <w:snapToGrid w:val="0"/>
              <w:jc w:val="center"/>
              <w:rPr>
                <w:rFonts w:ascii="Times New Roman" w:hAnsi="Times New Roman" w:cs="Times New Roman"/>
                <w:color w:val="000000" w:themeColor="text1"/>
                <w:kern w:val="0"/>
                <w:sz w:val="24"/>
                <w:szCs w:val="24"/>
              </w:rPr>
            </w:pPr>
          </w:p>
        </w:tc>
      </w:tr>
      <w:tr w14:paraId="5D7DD1B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5EAE0827">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335" w:type="dxa"/>
            <w:tcBorders>
              <w:tl2br w:val="nil"/>
              <w:tr2bl w:val="nil"/>
            </w:tcBorders>
            <w:shd w:val="clear" w:color="auto" w:fill="auto"/>
            <w:vAlign w:val="center"/>
          </w:tcPr>
          <w:p w14:paraId="516F8D4A">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地形地貌景观监测</w:t>
            </w:r>
          </w:p>
        </w:tc>
        <w:tc>
          <w:tcPr>
            <w:tcW w:w="901" w:type="dxa"/>
            <w:tcBorders>
              <w:tl2br w:val="nil"/>
              <w:tr2bl w:val="nil"/>
            </w:tcBorders>
            <w:shd w:val="clear" w:color="auto" w:fill="auto"/>
            <w:vAlign w:val="center"/>
          </w:tcPr>
          <w:p w14:paraId="0992177A">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次</w:t>
            </w:r>
          </w:p>
        </w:tc>
        <w:tc>
          <w:tcPr>
            <w:tcW w:w="1126" w:type="dxa"/>
            <w:tcBorders>
              <w:left w:val="single" w:color="auto" w:sz="4" w:space="0"/>
              <w:right w:val="single" w:color="auto" w:sz="4" w:space="0"/>
              <w:tl2br w:val="nil"/>
              <w:tr2bl w:val="nil"/>
            </w:tcBorders>
            <w:vAlign w:val="center"/>
          </w:tcPr>
          <w:p w14:paraId="7F6B469A">
            <w:pPr>
              <w:widowControl/>
              <w:snapToGrid w:val="0"/>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104</w:t>
            </w:r>
          </w:p>
        </w:tc>
        <w:tc>
          <w:tcPr>
            <w:tcW w:w="4018" w:type="dxa"/>
            <w:tcBorders>
              <w:left w:val="single" w:color="auto" w:sz="4" w:space="0"/>
              <w:tl2br w:val="nil"/>
              <w:tr2bl w:val="nil"/>
            </w:tcBorders>
            <w:shd w:val="clear" w:color="auto" w:fill="auto"/>
            <w:vAlign w:val="center"/>
          </w:tcPr>
          <w:p w14:paraId="5CA26B7D">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（2次/年×2点）×</w:t>
            </w:r>
            <w:r>
              <w:rPr>
                <w:rFonts w:hint="eastAsia" w:ascii="Times New Roman" w:hAnsi="Times New Roman" w:cs="Times New Roman"/>
                <w:color w:val="000000" w:themeColor="text1"/>
                <w:kern w:val="0"/>
                <w:sz w:val="24"/>
                <w:szCs w:val="24"/>
              </w:rPr>
              <w:t>26</w:t>
            </w:r>
            <w:r>
              <w:rPr>
                <w:rFonts w:ascii="Times New Roman" w:hAnsi="Times New Roman" w:cs="Times New Roman"/>
                <w:color w:val="000000" w:themeColor="text1"/>
                <w:kern w:val="0"/>
                <w:sz w:val="24"/>
                <w:szCs w:val="24"/>
              </w:rPr>
              <w:t>年</w:t>
            </w:r>
          </w:p>
        </w:tc>
      </w:tr>
      <w:tr w14:paraId="6766FB3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5E08FEE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335" w:type="dxa"/>
            <w:tcBorders>
              <w:tl2br w:val="nil"/>
              <w:tr2bl w:val="nil"/>
            </w:tcBorders>
            <w:shd w:val="clear" w:color="auto" w:fill="auto"/>
            <w:vAlign w:val="center"/>
          </w:tcPr>
          <w:p w14:paraId="0194DD04">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生态系统监测</w:t>
            </w:r>
          </w:p>
        </w:tc>
        <w:tc>
          <w:tcPr>
            <w:tcW w:w="901" w:type="dxa"/>
            <w:tcBorders>
              <w:tl2br w:val="nil"/>
              <w:tr2bl w:val="nil"/>
            </w:tcBorders>
            <w:vAlign w:val="center"/>
          </w:tcPr>
          <w:p w14:paraId="732754F1">
            <w:pPr>
              <w:widowControl/>
              <w:snapToGrid w:val="0"/>
              <w:jc w:val="center"/>
              <w:rPr>
                <w:rFonts w:ascii="Times New Roman" w:hAnsi="Times New Roman" w:cs="Times New Roman"/>
                <w:color w:val="000000" w:themeColor="text1"/>
                <w:kern w:val="0"/>
                <w:sz w:val="24"/>
                <w:szCs w:val="24"/>
              </w:rPr>
            </w:pPr>
          </w:p>
        </w:tc>
        <w:tc>
          <w:tcPr>
            <w:tcW w:w="1126" w:type="dxa"/>
            <w:tcBorders>
              <w:left w:val="single" w:color="auto" w:sz="4" w:space="0"/>
              <w:right w:val="single" w:color="auto" w:sz="4" w:space="0"/>
              <w:tl2br w:val="nil"/>
              <w:tr2bl w:val="nil"/>
            </w:tcBorders>
            <w:vAlign w:val="center"/>
          </w:tcPr>
          <w:p w14:paraId="32CAC1C1">
            <w:pPr>
              <w:widowControl/>
              <w:snapToGrid w:val="0"/>
              <w:jc w:val="center"/>
              <w:rPr>
                <w:rFonts w:ascii="Times New Roman" w:hAnsi="Times New Roman" w:cs="Times New Roman"/>
                <w:color w:val="000000" w:themeColor="text1"/>
                <w:kern w:val="0"/>
                <w:sz w:val="24"/>
                <w:szCs w:val="24"/>
              </w:rPr>
            </w:pPr>
          </w:p>
        </w:tc>
        <w:tc>
          <w:tcPr>
            <w:tcW w:w="4018" w:type="dxa"/>
            <w:tcBorders>
              <w:left w:val="single" w:color="auto" w:sz="4" w:space="0"/>
              <w:tl2br w:val="nil"/>
              <w:tr2bl w:val="nil"/>
            </w:tcBorders>
            <w:shd w:val="clear" w:color="auto" w:fill="auto"/>
            <w:vAlign w:val="center"/>
          </w:tcPr>
          <w:p w14:paraId="17D3546D">
            <w:pPr>
              <w:widowControl/>
              <w:snapToGrid w:val="0"/>
              <w:jc w:val="center"/>
              <w:rPr>
                <w:rFonts w:ascii="Times New Roman" w:hAnsi="Times New Roman" w:cs="Times New Roman"/>
                <w:color w:val="000000" w:themeColor="text1"/>
                <w:kern w:val="0"/>
                <w:sz w:val="24"/>
                <w:szCs w:val="24"/>
              </w:rPr>
            </w:pPr>
          </w:p>
        </w:tc>
      </w:tr>
      <w:tr w14:paraId="6D82761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66A6870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335" w:type="dxa"/>
            <w:tcBorders>
              <w:tl2br w:val="nil"/>
              <w:tr2bl w:val="nil"/>
            </w:tcBorders>
            <w:shd w:val="clear" w:color="auto" w:fill="auto"/>
            <w:vAlign w:val="center"/>
          </w:tcPr>
          <w:p w14:paraId="24D3FBF9">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土壤质量监测</w:t>
            </w:r>
          </w:p>
        </w:tc>
        <w:tc>
          <w:tcPr>
            <w:tcW w:w="901" w:type="dxa"/>
            <w:tcBorders>
              <w:tl2br w:val="nil"/>
              <w:tr2bl w:val="nil"/>
            </w:tcBorders>
            <w:shd w:val="clear" w:color="auto" w:fill="auto"/>
            <w:vAlign w:val="center"/>
          </w:tcPr>
          <w:p w14:paraId="1E1198F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次</w:t>
            </w:r>
          </w:p>
        </w:tc>
        <w:tc>
          <w:tcPr>
            <w:tcW w:w="1126" w:type="dxa"/>
            <w:tcBorders>
              <w:left w:val="single" w:color="auto" w:sz="4" w:space="0"/>
              <w:right w:val="single" w:color="auto" w:sz="4" w:space="0"/>
              <w:tl2br w:val="nil"/>
              <w:tr2bl w:val="nil"/>
            </w:tcBorders>
            <w:vAlign w:val="center"/>
          </w:tcPr>
          <w:p w14:paraId="7D0B83ED">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w:t>
            </w:r>
          </w:p>
        </w:tc>
        <w:tc>
          <w:tcPr>
            <w:tcW w:w="4018" w:type="dxa"/>
            <w:tcBorders>
              <w:left w:val="single" w:color="auto" w:sz="4" w:space="0"/>
              <w:tl2br w:val="nil"/>
              <w:tr2bl w:val="nil"/>
            </w:tcBorders>
            <w:shd w:val="clear" w:color="auto" w:fill="auto"/>
            <w:vAlign w:val="center"/>
          </w:tcPr>
          <w:p w14:paraId="3F4AC178">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（1次/年×4点）×3年</w:t>
            </w:r>
          </w:p>
        </w:tc>
      </w:tr>
      <w:tr w14:paraId="3E0A93F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23C170C6">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335" w:type="dxa"/>
            <w:tcBorders>
              <w:tl2br w:val="nil"/>
              <w:tr2bl w:val="nil"/>
            </w:tcBorders>
            <w:shd w:val="clear" w:color="auto" w:fill="auto"/>
            <w:vAlign w:val="center"/>
          </w:tcPr>
          <w:p w14:paraId="782F217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复垦效果监测</w:t>
            </w:r>
          </w:p>
        </w:tc>
        <w:tc>
          <w:tcPr>
            <w:tcW w:w="901" w:type="dxa"/>
            <w:tcBorders>
              <w:tl2br w:val="nil"/>
              <w:tr2bl w:val="nil"/>
            </w:tcBorders>
            <w:shd w:val="clear" w:color="auto" w:fill="auto"/>
            <w:vAlign w:val="center"/>
          </w:tcPr>
          <w:p w14:paraId="6283EB5D">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次</w:t>
            </w:r>
          </w:p>
        </w:tc>
        <w:tc>
          <w:tcPr>
            <w:tcW w:w="1126" w:type="dxa"/>
            <w:tcBorders>
              <w:left w:val="single" w:color="auto" w:sz="4" w:space="0"/>
              <w:right w:val="single" w:color="auto" w:sz="4" w:space="0"/>
              <w:tl2br w:val="nil"/>
              <w:tr2bl w:val="nil"/>
            </w:tcBorders>
            <w:vAlign w:val="center"/>
          </w:tcPr>
          <w:p w14:paraId="1A283C7E">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w:t>
            </w:r>
          </w:p>
        </w:tc>
        <w:tc>
          <w:tcPr>
            <w:tcW w:w="4018" w:type="dxa"/>
            <w:tcBorders>
              <w:left w:val="single" w:color="auto" w:sz="4" w:space="0"/>
              <w:tl2br w:val="nil"/>
              <w:tr2bl w:val="nil"/>
            </w:tcBorders>
            <w:vAlign w:val="center"/>
          </w:tcPr>
          <w:p w14:paraId="219EEAB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（1次/年×4点）×3年</w:t>
            </w:r>
          </w:p>
        </w:tc>
      </w:tr>
      <w:tr w14:paraId="3E2CEDD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4FF9451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2335" w:type="dxa"/>
            <w:tcBorders>
              <w:tl2br w:val="nil"/>
              <w:tr2bl w:val="nil"/>
            </w:tcBorders>
            <w:vAlign w:val="center"/>
          </w:tcPr>
          <w:p w14:paraId="4FB01C13">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管护</w:t>
            </w:r>
          </w:p>
        </w:tc>
        <w:tc>
          <w:tcPr>
            <w:tcW w:w="901" w:type="dxa"/>
            <w:tcBorders>
              <w:tl2br w:val="nil"/>
              <w:tr2bl w:val="nil"/>
            </w:tcBorders>
            <w:vAlign w:val="center"/>
          </w:tcPr>
          <w:p w14:paraId="2D2B4072">
            <w:pPr>
              <w:widowControl/>
              <w:snapToGrid w:val="0"/>
              <w:jc w:val="center"/>
              <w:rPr>
                <w:rFonts w:ascii="Times New Roman" w:hAnsi="Times New Roman" w:cs="Times New Roman"/>
                <w:color w:val="000000" w:themeColor="text1"/>
                <w:kern w:val="0"/>
                <w:sz w:val="24"/>
                <w:szCs w:val="24"/>
              </w:rPr>
            </w:pPr>
          </w:p>
        </w:tc>
        <w:tc>
          <w:tcPr>
            <w:tcW w:w="1126" w:type="dxa"/>
            <w:tcBorders>
              <w:left w:val="single" w:color="auto" w:sz="4" w:space="0"/>
              <w:right w:val="single" w:color="auto" w:sz="4" w:space="0"/>
              <w:tl2br w:val="nil"/>
              <w:tr2bl w:val="nil"/>
            </w:tcBorders>
            <w:vAlign w:val="center"/>
          </w:tcPr>
          <w:p w14:paraId="68F9039D">
            <w:pPr>
              <w:widowControl/>
              <w:snapToGrid w:val="0"/>
              <w:jc w:val="center"/>
              <w:rPr>
                <w:rFonts w:ascii="Times New Roman" w:hAnsi="Times New Roman" w:cs="Times New Roman"/>
                <w:color w:val="000000" w:themeColor="text1"/>
                <w:kern w:val="0"/>
                <w:sz w:val="24"/>
                <w:szCs w:val="24"/>
              </w:rPr>
            </w:pPr>
          </w:p>
        </w:tc>
        <w:tc>
          <w:tcPr>
            <w:tcW w:w="4018" w:type="dxa"/>
            <w:tcBorders>
              <w:left w:val="single" w:color="auto" w:sz="4" w:space="0"/>
              <w:tl2br w:val="nil"/>
              <w:tr2bl w:val="nil"/>
            </w:tcBorders>
            <w:vAlign w:val="center"/>
          </w:tcPr>
          <w:p w14:paraId="56158417">
            <w:pPr>
              <w:widowControl/>
              <w:snapToGrid w:val="0"/>
              <w:jc w:val="center"/>
              <w:rPr>
                <w:rFonts w:ascii="Times New Roman" w:hAnsi="Times New Roman" w:cs="Times New Roman"/>
                <w:color w:val="000000" w:themeColor="text1"/>
                <w:kern w:val="0"/>
                <w:sz w:val="24"/>
                <w:szCs w:val="24"/>
              </w:rPr>
            </w:pPr>
          </w:p>
        </w:tc>
      </w:tr>
      <w:tr w14:paraId="16A3EF5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729EAC4F">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335" w:type="dxa"/>
            <w:tcBorders>
              <w:tl2br w:val="nil"/>
              <w:tr2bl w:val="nil"/>
            </w:tcBorders>
            <w:shd w:val="clear" w:color="auto" w:fill="auto"/>
            <w:vAlign w:val="center"/>
          </w:tcPr>
          <w:p w14:paraId="37F8208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管护</w:t>
            </w:r>
          </w:p>
        </w:tc>
        <w:tc>
          <w:tcPr>
            <w:tcW w:w="901" w:type="dxa"/>
            <w:tcBorders>
              <w:tl2br w:val="nil"/>
              <w:tr2bl w:val="nil"/>
            </w:tcBorders>
            <w:vAlign w:val="center"/>
          </w:tcPr>
          <w:p w14:paraId="0F90131F">
            <w:pPr>
              <w:widowControl/>
              <w:snapToGrid w:val="0"/>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p>
        </w:tc>
        <w:tc>
          <w:tcPr>
            <w:tcW w:w="1126" w:type="dxa"/>
            <w:tcBorders>
              <w:left w:val="single" w:color="auto" w:sz="4" w:space="0"/>
              <w:right w:val="single" w:color="auto" w:sz="4" w:space="0"/>
              <w:tl2br w:val="nil"/>
              <w:tr2bl w:val="nil"/>
            </w:tcBorders>
            <w:shd w:val="clear" w:color="auto" w:fill="auto"/>
            <w:vAlign w:val="center"/>
          </w:tcPr>
          <w:p w14:paraId="11AB66F1">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r>
              <w:rPr>
                <w:rFonts w:hint="eastAsia" w:ascii="Times New Roman" w:hAnsi="Times New Roman" w:cs="Times New Roman"/>
                <w:color w:val="000000" w:themeColor="text1"/>
                <w:kern w:val="0"/>
                <w:sz w:val="24"/>
                <w:szCs w:val="24"/>
              </w:rPr>
              <w:t>12.54</w:t>
            </w:r>
          </w:p>
        </w:tc>
        <w:tc>
          <w:tcPr>
            <w:tcW w:w="4018" w:type="dxa"/>
            <w:tcBorders>
              <w:left w:val="single" w:color="auto" w:sz="4" w:space="0"/>
              <w:tl2br w:val="nil"/>
              <w:tr2bl w:val="nil"/>
            </w:tcBorders>
            <w:vAlign w:val="center"/>
          </w:tcPr>
          <w:p w14:paraId="1FC4D4D0">
            <w:pPr>
              <w:widowControl/>
              <w:snapToGrid w:val="0"/>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3年</w:t>
            </w:r>
          </w:p>
        </w:tc>
      </w:tr>
    </w:tbl>
    <w:p w14:paraId="2C55EA70">
      <w:pPr>
        <w:pStyle w:val="178"/>
        <w:topLinePunct/>
        <w:rPr>
          <w:rFonts w:ascii="Times New Roman" w:hAnsi="Times New Roman" w:cs="Times New Roman"/>
          <w:color w:val="000000" w:themeColor="text1"/>
        </w:rPr>
      </w:pPr>
    </w:p>
    <w:p w14:paraId="6D3271B5">
      <w:pPr>
        <w:widowControl/>
        <w:topLinePunct/>
        <w:jc w:val="left"/>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br w:type="page"/>
      </w:r>
    </w:p>
    <w:p w14:paraId="751D1FBC">
      <w:pPr>
        <w:pStyle w:val="159"/>
        <w:topLinePunct/>
        <w:rPr>
          <w:rFonts w:ascii="Times New Roman" w:hAnsi="Times New Roman" w:cs="Times New Roman"/>
          <w:color w:val="000000" w:themeColor="text1"/>
        </w:rPr>
      </w:pPr>
      <w:bookmarkStart w:id="37" w:name="_Toc18965"/>
      <w:r>
        <w:rPr>
          <w:rFonts w:ascii="Times New Roman" w:hAnsi="Times New Roman" w:cs="Times New Roman"/>
          <w:color w:val="000000" w:themeColor="text1"/>
        </w:rPr>
        <w:t>第六章 工作部署与经费估算</w:t>
      </w:r>
      <w:bookmarkEnd w:id="37"/>
    </w:p>
    <w:p w14:paraId="61BE69E3">
      <w:pPr>
        <w:pStyle w:val="174"/>
        <w:topLinePunct/>
        <w:rPr>
          <w:rFonts w:ascii="Times New Roman" w:hAnsi="Times New Roman" w:cs="Times New Roman"/>
          <w:color w:val="000000" w:themeColor="text1"/>
          <w:sz w:val="28"/>
          <w:szCs w:val="28"/>
        </w:rPr>
      </w:pPr>
      <w:bookmarkStart w:id="38" w:name="_Toc15830"/>
      <w:r>
        <w:rPr>
          <w:rFonts w:ascii="Times New Roman" w:hAnsi="Times New Roman" w:cs="Times New Roman"/>
          <w:color w:val="000000" w:themeColor="text1"/>
          <w:sz w:val="28"/>
          <w:szCs w:val="28"/>
        </w:rPr>
        <w:t>一、总体部署</w:t>
      </w:r>
      <w:bookmarkEnd w:id="38"/>
    </w:p>
    <w:p w14:paraId="3EF07A4A">
      <w:pPr>
        <w:pStyle w:val="179"/>
        <w:topLinePunct/>
        <w:rPr>
          <w:rFonts w:ascii="Times New Roman" w:hAnsi="Times New Roman" w:cs="Times New Roman"/>
          <w:color w:val="000000" w:themeColor="text1"/>
        </w:rPr>
      </w:pPr>
      <w:r>
        <w:rPr>
          <w:rFonts w:ascii="Times New Roman" w:hAnsi="Times New Roman" w:cs="Times New Roman"/>
          <w:color w:val="000000" w:themeColor="text1"/>
        </w:rPr>
        <w:t xml:space="preserve">（一）目标任务 </w:t>
      </w:r>
    </w:p>
    <w:p w14:paraId="53134470">
      <w:pPr>
        <w:pStyle w:val="178"/>
        <w:topLinePunct/>
        <w:rPr>
          <w:rFonts w:ascii="Times New Roman" w:hAnsi="Times New Roman" w:cs="Times New Roman"/>
          <w:color w:val="000000" w:themeColor="text1"/>
        </w:rPr>
      </w:pPr>
      <w:r>
        <w:rPr>
          <w:rFonts w:ascii="Times New Roman" w:hAnsi="Times New Roman" w:cs="Times New Roman"/>
          <w:color w:val="000000" w:themeColor="text1"/>
        </w:rPr>
        <w:t>生态修复工程旨在通过系统性干预，恢复受损生态系统的结构与功能，实现生态、社会及经济的可持续发展。其总体目标涵盖生态环境修复、可持续发展推进及社会效益提升，具体任务则围绕预防控制、地形改造、植被恢复、景观营造等多维度展开，逐步实现生态系统的平衡与优化。</w:t>
      </w:r>
    </w:p>
    <w:p w14:paraId="08A1587B">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（二）总工作量</w:t>
      </w:r>
    </w:p>
    <w:p w14:paraId="7F961593">
      <w:pPr>
        <w:pStyle w:val="182"/>
        <w:widowControl w:val="0"/>
        <w:topLinePunct/>
        <w:ind w:firstLine="0" w:firstLineChars="0"/>
        <w:rPr>
          <w:rFonts w:ascii="Times New Roman" w:hAnsi="Times New Roman"/>
          <w:color w:val="000000" w:themeColor="text1"/>
        </w:rPr>
      </w:pPr>
      <w:r>
        <w:rPr>
          <w:rFonts w:ascii="Times New Roman" w:hAnsi="Times New Roman"/>
          <w:color w:val="000000" w:themeColor="text1"/>
        </w:rPr>
        <w:t>表6-1</w:t>
      </w:r>
      <w:r>
        <w:rPr>
          <w:rFonts w:ascii="Times New Roman" w:hAnsi="Times New Roman"/>
          <w:color w:val="000000" w:themeColor="text1"/>
        </w:rPr>
        <w:tab/>
      </w:r>
      <w:r>
        <w:rPr>
          <w:rFonts w:ascii="Times New Roman" w:hAnsi="Times New Roman"/>
          <w:color w:val="000000" w:themeColor="text1"/>
        </w:rPr>
        <w:t>生态修复总工程量统计表</w:t>
      </w:r>
    </w:p>
    <w:tbl>
      <w:tblPr>
        <w:tblStyle w:val="185"/>
        <w:tblW w:w="5032" w:type="pct"/>
        <w:tblInd w:w="0" w:type="dxa"/>
        <w:tblLayout w:type="fixed"/>
        <w:tblCellMar>
          <w:top w:w="0" w:type="dxa"/>
          <w:left w:w="0" w:type="dxa"/>
          <w:bottom w:w="0" w:type="dxa"/>
          <w:right w:w="0" w:type="dxa"/>
        </w:tblCellMar>
      </w:tblPr>
      <w:tblGrid>
        <w:gridCol w:w="1285"/>
        <w:gridCol w:w="3188"/>
        <w:gridCol w:w="2971"/>
        <w:gridCol w:w="1713"/>
      </w:tblGrid>
      <w:tr w14:paraId="5C9C9EB5">
        <w:tblPrEx>
          <w:tblCellMar>
            <w:top w:w="0" w:type="dxa"/>
            <w:left w:w="0" w:type="dxa"/>
            <w:bottom w:w="0" w:type="dxa"/>
            <w:right w:w="0" w:type="dxa"/>
          </w:tblCellMar>
        </w:tblPrEx>
        <w:trPr>
          <w:trHeight w:val="20" w:hRule="atLeast"/>
          <w:tblHeader/>
        </w:trPr>
        <w:tc>
          <w:tcPr>
            <w:tcW w:w="1281" w:type="dxa"/>
            <w:tcBorders>
              <w:top w:val="single" w:color="000000" w:sz="12" w:space="0"/>
              <w:left w:val="single" w:color="000000" w:sz="12" w:space="0"/>
              <w:bottom w:val="single" w:color="000000" w:sz="4" w:space="0"/>
              <w:right w:val="single" w:color="000000" w:sz="4" w:space="0"/>
            </w:tcBorders>
            <w:vAlign w:val="center"/>
          </w:tcPr>
          <w:p w14:paraId="145BB915">
            <w:pPr>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序号</w:t>
            </w:r>
          </w:p>
        </w:tc>
        <w:tc>
          <w:tcPr>
            <w:tcW w:w="3178" w:type="dxa"/>
            <w:tcBorders>
              <w:top w:val="single" w:color="000000" w:sz="12" w:space="0"/>
              <w:left w:val="single" w:color="000000" w:sz="4" w:space="0"/>
              <w:bottom w:val="single" w:color="000000" w:sz="4" w:space="0"/>
              <w:right w:val="single" w:color="000000" w:sz="4" w:space="0"/>
            </w:tcBorders>
            <w:vAlign w:val="center"/>
          </w:tcPr>
          <w:p w14:paraId="677AFE08">
            <w:pPr>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工程名称</w:t>
            </w:r>
          </w:p>
        </w:tc>
        <w:tc>
          <w:tcPr>
            <w:tcW w:w="2962" w:type="dxa"/>
            <w:tcBorders>
              <w:top w:val="single" w:color="000000" w:sz="12" w:space="0"/>
              <w:left w:val="single" w:color="000000" w:sz="4" w:space="0"/>
              <w:bottom w:val="single" w:color="000000" w:sz="4" w:space="0"/>
              <w:right w:val="single" w:color="000000" w:sz="4" w:space="0"/>
            </w:tcBorders>
            <w:vAlign w:val="center"/>
          </w:tcPr>
          <w:p w14:paraId="0C400477">
            <w:pPr>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计算单位</w:t>
            </w:r>
          </w:p>
        </w:tc>
        <w:tc>
          <w:tcPr>
            <w:tcW w:w="1708" w:type="dxa"/>
            <w:tcBorders>
              <w:top w:val="single" w:color="000000" w:sz="12" w:space="0"/>
              <w:left w:val="single" w:color="000000" w:sz="4" w:space="0"/>
              <w:bottom w:val="single" w:color="000000" w:sz="4" w:space="0"/>
              <w:right w:val="single" w:color="000000" w:sz="12" w:space="0"/>
            </w:tcBorders>
            <w:vAlign w:val="center"/>
          </w:tcPr>
          <w:p w14:paraId="5831B918">
            <w:pPr>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工程量</w:t>
            </w:r>
          </w:p>
        </w:tc>
      </w:tr>
      <w:tr w14:paraId="0B5696AC">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EB3289B">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（一）</w:t>
            </w:r>
          </w:p>
        </w:tc>
        <w:tc>
          <w:tcPr>
            <w:tcW w:w="3178" w:type="dxa"/>
            <w:tcBorders>
              <w:top w:val="single" w:color="000000" w:sz="4" w:space="0"/>
              <w:left w:val="single" w:color="000000" w:sz="4" w:space="0"/>
              <w:bottom w:val="single" w:color="000000" w:sz="4" w:space="0"/>
              <w:right w:val="single" w:color="000000" w:sz="4" w:space="0"/>
            </w:tcBorders>
            <w:vAlign w:val="center"/>
          </w:tcPr>
          <w:p w14:paraId="2E7D70B7">
            <w:pPr>
              <w:pStyle w:val="156"/>
              <w:snapToGrid w:val="0"/>
              <w:spacing w:line="240" w:lineRule="auto"/>
              <w:ind w:left="110" w:leftChars="0"/>
              <w:jc w:val="center"/>
              <w:rPr>
                <w:rFonts w:eastAsiaTheme="minorEastAsia"/>
                <w:color w:val="000000" w:themeColor="text1"/>
                <w:lang w:eastAsia="zh-CN"/>
              </w:rPr>
            </w:pPr>
            <w:r>
              <w:rPr>
                <w:rFonts w:eastAsiaTheme="minorEastAsia"/>
                <w:color w:val="000000" w:themeColor="text1"/>
                <w:lang w:eastAsia="zh-CN"/>
              </w:rPr>
              <w:t>表土剥离与植被移植利用</w:t>
            </w:r>
          </w:p>
        </w:tc>
        <w:tc>
          <w:tcPr>
            <w:tcW w:w="2962" w:type="dxa"/>
            <w:tcBorders>
              <w:top w:val="single" w:color="000000" w:sz="4" w:space="0"/>
              <w:left w:val="single" w:color="000000" w:sz="4" w:space="0"/>
              <w:bottom w:val="single" w:color="000000" w:sz="4" w:space="0"/>
              <w:right w:val="single" w:color="000000" w:sz="4" w:space="0"/>
            </w:tcBorders>
            <w:vAlign w:val="center"/>
          </w:tcPr>
          <w:p w14:paraId="300F9F20">
            <w:pPr>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5F7DE80E">
            <w:pPr>
              <w:pStyle w:val="156"/>
              <w:snapToGrid w:val="0"/>
              <w:spacing w:line="240" w:lineRule="auto"/>
              <w:ind w:left="110" w:leftChars="0"/>
              <w:jc w:val="center"/>
              <w:rPr>
                <w:rFonts w:eastAsiaTheme="minorEastAsia"/>
                <w:color w:val="000000" w:themeColor="text1"/>
                <w:lang w:eastAsia="zh-CN"/>
              </w:rPr>
            </w:pPr>
          </w:p>
        </w:tc>
      </w:tr>
      <w:tr w14:paraId="06B4ED9B">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52CAE2FA">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13361E83">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表土剥离工程</w:t>
            </w:r>
          </w:p>
        </w:tc>
        <w:tc>
          <w:tcPr>
            <w:tcW w:w="2962" w:type="dxa"/>
            <w:tcBorders>
              <w:top w:val="single" w:color="000000" w:sz="4" w:space="0"/>
              <w:left w:val="single" w:color="000000" w:sz="4" w:space="0"/>
              <w:bottom w:val="single" w:color="000000" w:sz="4" w:space="0"/>
              <w:right w:val="single" w:color="000000" w:sz="4" w:space="0"/>
            </w:tcBorders>
            <w:vAlign w:val="center"/>
          </w:tcPr>
          <w:p w14:paraId="7BC50FCD">
            <w:pPr>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0B283F08">
            <w:pPr>
              <w:pStyle w:val="156"/>
              <w:snapToGrid w:val="0"/>
              <w:spacing w:line="240" w:lineRule="auto"/>
              <w:ind w:left="110" w:leftChars="0"/>
              <w:jc w:val="center"/>
              <w:rPr>
                <w:rFonts w:eastAsiaTheme="minorEastAsia"/>
                <w:color w:val="000000" w:themeColor="text1"/>
                <w:lang w:eastAsia="en-US"/>
              </w:rPr>
            </w:pPr>
          </w:p>
        </w:tc>
      </w:tr>
      <w:tr w14:paraId="02D29496">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6203F939">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62B1DC0D">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表土剥离</w:t>
            </w:r>
          </w:p>
        </w:tc>
        <w:tc>
          <w:tcPr>
            <w:tcW w:w="2962" w:type="dxa"/>
            <w:tcBorders>
              <w:top w:val="single" w:color="000000" w:sz="4" w:space="0"/>
              <w:left w:val="single" w:color="000000" w:sz="4" w:space="0"/>
              <w:bottom w:val="single" w:color="000000" w:sz="4" w:space="0"/>
              <w:right w:val="single" w:color="000000" w:sz="4" w:space="0"/>
            </w:tcBorders>
            <w:vAlign w:val="center"/>
          </w:tcPr>
          <w:p w14:paraId="36E80383">
            <w:pPr>
              <w:snapToGrid w:val="0"/>
              <w:spacing w:line="240" w:lineRule="auto"/>
              <w:jc w:val="center"/>
              <w:rPr>
                <w:rFonts w:hint="eastAsia" w:ascii="Times New Roman" w:hAnsi="Times New Roman" w:cs="Times New Roman" w:eastAsiaTheme="minorEastAsia"/>
                <w:color w:val="000000" w:themeColor="text1"/>
                <w:kern w:val="0"/>
                <w:sz w:val="24"/>
                <w:szCs w:val="24"/>
                <w:lang w:eastAsia="zh-CN"/>
              </w:rPr>
            </w:pP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center"/>
          </w:tcPr>
          <w:p w14:paraId="7D9A588F">
            <w:pPr>
              <w:pStyle w:val="156"/>
              <w:snapToGrid w:val="0"/>
              <w:spacing w:line="240" w:lineRule="auto"/>
              <w:ind w:left="110" w:leftChars="0"/>
              <w:jc w:val="center"/>
              <w:rPr>
                <w:rFonts w:eastAsiaTheme="minorEastAsia"/>
                <w:color w:val="000000" w:themeColor="text1"/>
                <w:lang w:eastAsia="en-US"/>
              </w:rPr>
            </w:pPr>
            <w:r>
              <w:rPr>
                <w:rFonts w:hint="eastAsia" w:eastAsiaTheme="minorEastAsia"/>
                <w:color w:val="000000" w:themeColor="text1"/>
                <w:lang w:eastAsia="en-US"/>
              </w:rPr>
              <w:t>2700</w:t>
            </w:r>
          </w:p>
        </w:tc>
      </w:tr>
      <w:tr w14:paraId="5A11E8C8">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14D7DFF9">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w:t>
            </w:r>
          </w:p>
        </w:tc>
        <w:tc>
          <w:tcPr>
            <w:tcW w:w="3178" w:type="dxa"/>
            <w:tcBorders>
              <w:top w:val="single" w:color="000000" w:sz="4" w:space="0"/>
              <w:left w:val="single" w:color="000000" w:sz="4" w:space="0"/>
              <w:bottom w:val="single" w:color="000000" w:sz="4" w:space="0"/>
              <w:right w:val="single" w:color="000000" w:sz="4" w:space="0"/>
            </w:tcBorders>
            <w:vAlign w:val="center"/>
          </w:tcPr>
          <w:p w14:paraId="1361813C">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表土管护工程</w:t>
            </w:r>
          </w:p>
        </w:tc>
        <w:tc>
          <w:tcPr>
            <w:tcW w:w="2962" w:type="dxa"/>
            <w:tcBorders>
              <w:top w:val="single" w:color="000000" w:sz="4" w:space="0"/>
              <w:left w:val="single" w:color="000000" w:sz="4" w:space="0"/>
              <w:bottom w:val="single" w:color="000000" w:sz="4" w:space="0"/>
              <w:right w:val="single" w:color="000000" w:sz="4" w:space="0"/>
            </w:tcBorders>
            <w:vAlign w:val="center"/>
          </w:tcPr>
          <w:p w14:paraId="5EA7CFC2">
            <w:pPr>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1D8EE22D">
            <w:pPr>
              <w:pStyle w:val="156"/>
              <w:snapToGrid w:val="0"/>
              <w:spacing w:line="240" w:lineRule="auto"/>
              <w:ind w:left="110" w:leftChars="0"/>
              <w:jc w:val="center"/>
              <w:rPr>
                <w:rFonts w:eastAsiaTheme="minorEastAsia"/>
                <w:color w:val="000000" w:themeColor="text1"/>
                <w:lang w:eastAsia="en-US"/>
              </w:rPr>
            </w:pPr>
          </w:p>
        </w:tc>
      </w:tr>
      <w:tr w14:paraId="4C5CB342">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191DB322">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1C9CAB46">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撒播种草</w:t>
            </w:r>
          </w:p>
        </w:tc>
        <w:tc>
          <w:tcPr>
            <w:tcW w:w="2962" w:type="dxa"/>
            <w:tcBorders>
              <w:top w:val="single" w:color="000000" w:sz="4" w:space="0"/>
              <w:left w:val="single" w:color="000000" w:sz="4" w:space="0"/>
              <w:bottom w:val="single" w:color="000000" w:sz="4" w:space="0"/>
              <w:right w:val="single" w:color="000000" w:sz="4" w:space="0"/>
            </w:tcBorders>
            <w:vAlign w:val="center"/>
          </w:tcPr>
          <w:p w14:paraId="02D059DE">
            <w:pPr>
              <w:snapToGrid w:val="0"/>
              <w:spacing w:line="240" w:lineRule="auto"/>
              <w:jc w:val="center"/>
              <w:rPr>
                <w:rFonts w:hint="eastAsia"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en-US"/>
              </w:rPr>
              <w:t>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p>
        </w:tc>
        <w:tc>
          <w:tcPr>
            <w:tcW w:w="1708" w:type="dxa"/>
            <w:tcBorders>
              <w:top w:val="single" w:color="000000" w:sz="4" w:space="0"/>
              <w:left w:val="single" w:color="000000" w:sz="4" w:space="0"/>
              <w:bottom w:val="single" w:color="000000" w:sz="4" w:space="0"/>
              <w:right w:val="single" w:color="000000" w:sz="12" w:space="0"/>
            </w:tcBorders>
            <w:vAlign w:val="center"/>
          </w:tcPr>
          <w:p w14:paraId="1B0F8AE1">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0.</w:t>
            </w:r>
            <w:r>
              <w:rPr>
                <w:rFonts w:hint="eastAsia" w:eastAsiaTheme="minorEastAsia"/>
                <w:color w:val="000000" w:themeColor="text1"/>
                <w:lang w:eastAsia="en-US"/>
              </w:rPr>
              <w:t>13</w:t>
            </w:r>
          </w:p>
        </w:tc>
      </w:tr>
      <w:tr w14:paraId="2CF0F7EC">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6B63D55E">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w:t>
            </w:r>
          </w:p>
        </w:tc>
        <w:tc>
          <w:tcPr>
            <w:tcW w:w="3178" w:type="dxa"/>
            <w:tcBorders>
              <w:top w:val="single" w:color="000000" w:sz="4" w:space="0"/>
              <w:left w:val="single" w:color="000000" w:sz="4" w:space="0"/>
              <w:bottom w:val="single" w:color="000000" w:sz="4" w:space="0"/>
              <w:right w:val="single" w:color="000000" w:sz="4" w:space="0"/>
            </w:tcBorders>
            <w:vAlign w:val="center"/>
          </w:tcPr>
          <w:p w14:paraId="4AC507FC">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石笼挡墙土方开挖</w:t>
            </w:r>
          </w:p>
        </w:tc>
        <w:tc>
          <w:tcPr>
            <w:tcW w:w="2962" w:type="dxa"/>
            <w:tcBorders>
              <w:top w:val="single" w:color="000000" w:sz="4" w:space="0"/>
              <w:left w:val="single" w:color="000000" w:sz="4" w:space="0"/>
              <w:bottom w:val="single" w:color="000000" w:sz="4" w:space="0"/>
              <w:right w:val="single" w:color="000000" w:sz="4" w:space="0"/>
            </w:tcBorders>
            <w:vAlign w:val="center"/>
          </w:tcPr>
          <w:p w14:paraId="49523DA2">
            <w:pPr>
              <w:snapToGrid w:val="0"/>
              <w:spacing w:line="240" w:lineRule="auto"/>
              <w:jc w:val="center"/>
              <w:rPr>
                <w:rFonts w:hint="eastAsia" w:ascii="Times New Roman" w:hAnsi="Times New Roman" w:cs="Times New Roman" w:eastAsiaTheme="minorEastAsia"/>
                <w:color w:val="000000" w:themeColor="text1"/>
                <w:kern w:val="0"/>
                <w:sz w:val="24"/>
                <w:szCs w:val="24"/>
                <w:lang w:eastAsia="zh-CN"/>
              </w:rPr>
            </w:pP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center"/>
          </w:tcPr>
          <w:p w14:paraId="2B71DC96">
            <w:pPr>
              <w:pStyle w:val="156"/>
              <w:snapToGrid w:val="0"/>
              <w:spacing w:line="240" w:lineRule="auto"/>
              <w:ind w:left="110" w:leftChars="0"/>
              <w:jc w:val="center"/>
              <w:rPr>
                <w:rFonts w:eastAsiaTheme="minorEastAsia"/>
                <w:color w:val="000000" w:themeColor="text1"/>
                <w:lang w:eastAsia="en-US"/>
              </w:rPr>
            </w:pPr>
            <w:r>
              <w:rPr>
                <w:rFonts w:hint="eastAsia" w:eastAsiaTheme="minorEastAsia"/>
                <w:color w:val="000000" w:themeColor="text1"/>
                <w:lang w:eastAsia="en-US"/>
              </w:rPr>
              <w:t>105</w:t>
            </w:r>
          </w:p>
        </w:tc>
      </w:tr>
      <w:tr w14:paraId="3FC5B272">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7AD5313A">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（3）</w:t>
            </w:r>
          </w:p>
        </w:tc>
        <w:tc>
          <w:tcPr>
            <w:tcW w:w="3178" w:type="dxa"/>
            <w:tcBorders>
              <w:top w:val="single" w:color="000000" w:sz="4" w:space="0"/>
              <w:left w:val="single" w:color="000000" w:sz="4" w:space="0"/>
              <w:bottom w:val="single" w:color="000000" w:sz="4" w:space="0"/>
              <w:right w:val="single" w:color="000000" w:sz="4" w:space="0"/>
            </w:tcBorders>
            <w:vAlign w:val="center"/>
          </w:tcPr>
          <w:p w14:paraId="0D763461">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石笼挡墙体积</w:t>
            </w:r>
          </w:p>
        </w:tc>
        <w:tc>
          <w:tcPr>
            <w:tcW w:w="2962" w:type="dxa"/>
            <w:tcBorders>
              <w:top w:val="single" w:color="000000" w:sz="4" w:space="0"/>
              <w:left w:val="single" w:color="000000" w:sz="4" w:space="0"/>
              <w:bottom w:val="single" w:color="000000" w:sz="4" w:space="0"/>
              <w:right w:val="single" w:color="000000" w:sz="4" w:space="0"/>
            </w:tcBorders>
            <w:vAlign w:val="center"/>
          </w:tcPr>
          <w:p w14:paraId="6D0DC2FA">
            <w:pPr>
              <w:snapToGrid w:val="0"/>
              <w:spacing w:line="240" w:lineRule="auto"/>
              <w:jc w:val="center"/>
              <w:rPr>
                <w:rFonts w:hint="eastAsia" w:ascii="Times New Roman" w:hAnsi="Times New Roman" w:cs="Times New Roman" w:eastAsiaTheme="minorEastAsia"/>
                <w:color w:val="000000" w:themeColor="text1"/>
                <w:kern w:val="0"/>
                <w:sz w:val="24"/>
                <w:szCs w:val="24"/>
                <w:lang w:eastAsia="zh-CN"/>
              </w:rPr>
            </w:pP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center"/>
          </w:tcPr>
          <w:p w14:paraId="43DBB196">
            <w:pPr>
              <w:pStyle w:val="156"/>
              <w:snapToGrid w:val="0"/>
              <w:spacing w:line="240" w:lineRule="auto"/>
              <w:ind w:left="110" w:leftChars="0"/>
              <w:jc w:val="center"/>
              <w:rPr>
                <w:rFonts w:eastAsiaTheme="minorEastAsia"/>
                <w:color w:val="000000" w:themeColor="text1"/>
                <w:lang w:eastAsia="en-US"/>
              </w:rPr>
            </w:pPr>
            <w:r>
              <w:rPr>
                <w:rFonts w:hint="eastAsia" w:eastAsiaTheme="minorEastAsia"/>
                <w:color w:val="000000" w:themeColor="text1"/>
                <w:lang w:eastAsia="en-US"/>
              </w:rPr>
              <w:t>455</w:t>
            </w:r>
          </w:p>
        </w:tc>
      </w:tr>
      <w:tr w14:paraId="2D893974">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7E54E69C">
            <w:pPr>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（二）</w:t>
            </w:r>
          </w:p>
        </w:tc>
        <w:tc>
          <w:tcPr>
            <w:tcW w:w="3178" w:type="dxa"/>
            <w:tcBorders>
              <w:top w:val="single" w:color="000000" w:sz="4" w:space="0"/>
              <w:left w:val="single" w:color="000000" w:sz="4" w:space="0"/>
              <w:bottom w:val="single" w:color="000000" w:sz="4" w:space="0"/>
              <w:right w:val="single" w:color="000000" w:sz="4" w:space="0"/>
            </w:tcBorders>
            <w:vAlign w:val="top"/>
          </w:tcPr>
          <w:p w14:paraId="688DFFB7">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地貌重塑工程</w:t>
            </w:r>
          </w:p>
        </w:tc>
        <w:tc>
          <w:tcPr>
            <w:tcW w:w="2962" w:type="dxa"/>
            <w:tcBorders>
              <w:top w:val="single" w:color="000000" w:sz="4" w:space="0"/>
              <w:left w:val="single" w:color="000000" w:sz="4" w:space="0"/>
              <w:bottom w:val="single" w:color="000000" w:sz="4" w:space="0"/>
              <w:right w:val="single" w:color="000000" w:sz="4" w:space="0"/>
            </w:tcBorders>
            <w:vAlign w:val="top"/>
          </w:tcPr>
          <w:p w14:paraId="07F69F10">
            <w:pPr>
              <w:pStyle w:val="156"/>
              <w:snapToGrid w:val="0"/>
              <w:spacing w:line="240" w:lineRule="auto"/>
              <w:ind w:left="110" w:leftChars="0"/>
              <w:jc w:val="center"/>
              <w:rPr>
                <w:rFonts w:eastAsiaTheme="minorEastAsia"/>
                <w:color w:val="000000" w:themeColor="text1"/>
                <w:lang w:eastAsia="en-US"/>
              </w:rPr>
            </w:pPr>
          </w:p>
        </w:tc>
        <w:tc>
          <w:tcPr>
            <w:tcW w:w="1708" w:type="dxa"/>
            <w:tcBorders>
              <w:top w:val="single" w:color="000000" w:sz="4" w:space="0"/>
              <w:left w:val="single" w:color="000000" w:sz="4" w:space="0"/>
              <w:bottom w:val="single" w:color="000000" w:sz="4" w:space="0"/>
              <w:right w:val="single" w:color="000000" w:sz="12" w:space="0"/>
            </w:tcBorders>
            <w:vAlign w:val="top"/>
          </w:tcPr>
          <w:p w14:paraId="2D53CB49">
            <w:pPr>
              <w:pStyle w:val="156"/>
              <w:snapToGrid w:val="0"/>
              <w:spacing w:line="240" w:lineRule="auto"/>
              <w:ind w:left="110" w:leftChars="0"/>
              <w:jc w:val="center"/>
              <w:rPr>
                <w:rFonts w:eastAsiaTheme="minorEastAsia"/>
                <w:color w:val="000000" w:themeColor="text1"/>
                <w:lang w:eastAsia="en-US"/>
              </w:rPr>
            </w:pPr>
          </w:p>
        </w:tc>
      </w:tr>
      <w:tr w14:paraId="160A7112">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top"/>
          </w:tcPr>
          <w:p w14:paraId="1AAF237B">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1</w:t>
            </w:r>
          </w:p>
        </w:tc>
        <w:tc>
          <w:tcPr>
            <w:tcW w:w="3178" w:type="dxa"/>
            <w:tcBorders>
              <w:top w:val="single" w:color="000000" w:sz="4" w:space="0"/>
              <w:left w:val="single" w:color="000000" w:sz="4" w:space="0"/>
              <w:bottom w:val="single" w:color="000000" w:sz="4" w:space="0"/>
              <w:right w:val="single" w:color="000000" w:sz="4" w:space="0"/>
            </w:tcBorders>
            <w:vAlign w:val="top"/>
          </w:tcPr>
          <w:p w14:paraId="6672BCA3">
            <w:pPr>
              <w:pStyle w:val="156"/>
              <w:snapToGrid w:val="0"/>
              <w:spacing w:line="240" w:lineRule="auto"/>
              <w:ind w:left="110" w:leftChars="0"/>
              <w:jc w:val="center"/>
              <w:rPr>
                <w:rFonts w:eastAsiaTheme="minorEastAsia"/>
                <w:color w:val="000000" w:themeColor="text1"/>
                <w:lang w:eastAsia="zh-CN"/>
              </w:rPr>
            </w:pPr>
            <w:r>
              <w:rPr>
                <w:rFonts w:eastAsiaTheme="minorEastAsia"/>
                <w:color w:val="000000" w:themeColor="text1"/>
                <w:lang w:eastAsia="zh-CN"/>
              </w:rPr>
              <w:t>露天采场、排土场治理工程</w:t>
            </w:r>
          </w:p>
        </w:tc>
        <w:tc>
          <w:tcPr>
            <w:tcW w:w="2962" w:type="dxa"/>
            <w:tcBorders>
              <w:top w:val="single" w:color="000000" w:sz="4" w:space="0"/>
              <w:left w:val="single" w:color="000000" w:sz="4" w:space="0"/>
              <w:bottom w:val="single" w:color="000000" w:sz="4" w:space="0"/>
              <w:right w:val="single" w:color="000000" w:sz="4" w:space="0"/>
            </w:tcBorders>
            <w:vAlign w:val="top"/>
          </w:tcPr>
          <w:p w14:paraId="693C28C4">
            <w:pPr>
              <w:pStyle w:val="156"/>
              <w:snapToGrid w:val="0"/>
              <w:spacing w:line="240" w:lineRule="auto"/>
              <w:ind w:left="110" w:leftChars="0"/>
              <w:jc w:val="center"/>
              <w:rPr>
                <w:rFonts w:eastAsiaTheme="minorEastAsia"/>
                <w:color w:val="000000" w:themeColor="text1"/>
                <w:lang w:eastAsia="zh-CN"/>
              </w:rPr>
            </w:pPr>
          </w:p>
        </w:tc>
        <w:tc>
          <w:tcPr>
            <w:tcW w:w="1708" w:type="dxa"/>
            <w:tcBorders>
              <w:top w:val="single" w:color="000000" w:sz="4" w:space="0"/>
              <w:left w:val="single" w:color="000000" w:sz="4" w:space="0"/>
              <w:bottom w:val="single" w:color="000000" w:sz="4" w:space="0"/>
              <w:right w:val="single" w:color="000000" w:sz="12" w:space="0"/>
            </w:tcBorders>
            <w:vAlign w:val="top"/>
          </w:tcPr>
          <w:p w14:paraId="3423BC07">
            <w:pPr>
              <w:pStyle w:val="156"/>
              <w:snapToGrid w:val="0"/>
              <w:spacing w:line="240" w:lineRule="auto"/>
              <w:ind w:left="110" w:leftChars="0"/>
              <w:jc w:val="center"/>
              <w:rPr>
                <w:rFonts w:eastAsiaTheme="minorEastAsia"/>
                <w:color w:val="000000" w:themeColor="text1"/>
                <w:lang w:eastAsia="zh-CN"/>
              </w:rPr>
            </w:pPr>
          </w:p>
        </w:tc>
      </w:tr>
      <w:tr w14:paraId="61714236">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top"/>
          </w:tcPr>
          <w:p w14:paraId="173D38D0">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（1）</w:t>
            </w:r>
          </w:p>
        </w:tc>
        <w:tc>
          <w:tcPr>
            <w:tcW w:w="3178" w:type="dxa"/>
            <w:tcBorders>
              <w:top w:val="single" w:color="000000" w:sz="4" w:space="0"/>
              <w:left w:val="single" w:color="000000" w:sz="4" w:space="0"/>
              <w:bottom w:val="single" w:color="000000" w:sz="4" w:space="0"/>
              <w:right w:val="single" w:color="000000" w:sz="4" w:space="0"/>
            </w:tcBorders>
            <w:vAlign w:val="top"/>
          </w:tcPr>
          <w:p w14:paraId="0C549830">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拆除石笼挡墙</w:t>
            </w:r>
          </w:p>
        </w:tc>
        <w:tc>
          <w:tcPr>
            <w:tcW w:w="2962" w:type="dxa"/>
            <w:tcBorders>
              <w:top w:val="single" w:color="000000" w:sz="4" w:space="0"/>
              <w:left w:val="single" w:color="000000" w:sz="4" w:space="0"/>
              <w:bottom w:val="single" w:color="000000" w:sz="4" w:space="0"/>
              <w:right w:val="single" w:color="000000" w:sz="4" w:space="0"/>
            </w:tcBorders>
            <w:vAlign w:val="top"/>
          </w:tcPr>
          <w:p w14:paraId="6F909912">
            <w:pPr>
              <w:pStyle w:val="156"/>
              <w:snapToGrid w:val="0"/>
              <w:spacing w:before="17" w:line="240" w:lineRule="auto"/>
              <w:ind w:left="110" w:leftChars="0" w:right="1" w:rightChars="0"/>
              <w:jc w:val="center"/>
              <w:rPr>
                <w:rFonts w:hint="eastAsia" w:eastAsiaTheme="minorEastAsia"/>
                <w:color w:val="000000" w:themeColor="text1"/>
                <w:lang w:eastAsia="zh-CN"/>
              </w:rPr>
            </w:pPr>
            <w:r>
              <w:rPr>
                <w:rFonts w:hint="eastAsia" w:eastAsiaTheme="minorEastAsia"/>
                <w:color w:val="000000" w:themeColor="text1"/>
                <w:lang w:eastAsia="zh-CN"/>
              </w:rPr>
              <w:t>m</w:t>
            </w:r>
            <w:r>
              <w:rPr>
                <w:rFonts w:hint="eastAsia" w:eastAsiaTheme="minorEastAsia"/>
                <w:strike w:val="0"/>
                <w:dstrike w:val="0"/>
                <w:color w:val="000000" w:themeColor="text1"/>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top"/>
          </w:tcPr>
          <w:p w14:paraId="56B48A45">
            <w:pPr>
              <w:pStyle w:val="156"/>
              <w:snapToGrid w:val="0"/>
              <w:spacing w:before="14" w:line="240" w:lineRule="auto"/>
              <w:ind w:left="110" w:leftChars="0"/>
              <w:jc w:val="center"/>
              <w:rPr>
                <w:rFonts w:eastAsiaTheme="minorEastAsia"/>
                <w:color w:val="000000" w:themeColor="text1"/>
                <w:lang w:eastAsia="en-US"/>
              </w:rPr>
            </w:pPr>
            <w:r>
              <w:rPr>
                <w:rFonts w:hint="eastAsia" w:eastAsiaTheme="minorEastAsia"/>
                <w:color w:val="000000" w:themeColor="text1"/>
                <w:lang w:eastAsia="en-US"/>
              </w:rPr>
              <w:t>455</w:t>
            </w:r>
          </w:p>
        </w:tc>
      </w:tr>
      <w:tr w14:paraId="3D0BB77F">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top"/>
          </w:tcPr>
          <w:p w14:paraId="048A9730">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（2）</w:t>
            </w:r>
          </w:p>
        </w:tc>
        <w:tc>
          <w:tcPr>
            <w:tcW w:w="3178" w:type="dxa"/>
            <w:tcBorders>
              <w:top w:val="single" w:color="000000" w:sz="4" w:space="0"/>
              <w:left w:val="single" w:color="000000" w:sz="4" w:space="0"/>
              <w:bottom w:val="single" w:color="000000" w:sz="4" w:space="0"/>
              <w:right w:val="single" w:color="000000" w:sz="4" w:space="0"/>
            </w:tcBorders>
            <w:vAlign w:val="top"/>
          </w:tcPr>
          <w:p w14:paraId="037DE9EB">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运输拆除石笼</w:t>
            </w:r>
          </w:p>
        </w:tc>
        <w:tc>
          <w:tcPr>
            <w:tcW w:w="2962" w:type="dxa"/>
            <w:tcBorders>
              <w:top w:val="single" w:color="000000" w:sz="4" w:space="0"/>
              <w:left w:val="single" w:color="000000" w:sz="4" w:space="0"/>
              <w:bottom w:val="single" w:color="000000" w:sz="4" w:space="0"/>
              <w:right w:val="single" w:color="000000" w:sz="4" w:space="0"/>
            </w:tcBorders>
            <w:vAlign w:val="top"/>
          </w:tcPr>
          <w:p w14:paraId="6B1B3689">
            <w:pPr>
              <w:pStyle w:val="156"/>
              <w:snapToGrid w:val="0"/>
              <w:spacing w:before="15" w:line="240" w:lineRule="auto"/>
              <w:ind w:left="110" w:leftChars="0" w:right="1" w:rightChars="0"/>
              <w:jc w:val="center"/>
              <w:rPr>
                <w:rFonts w:hint="eastAsia" w:eastAsiaTheme="minorEastAsia"/>
                <w:color w:val="000000" w:themeColor="text1"/>
                <w:lang w:eastAsia="zh-CN"/>
              </w:rPr>
            </w:pPr>
            <w:r>
              <w:rPr>
                <w:rFonts w:hint="eastAsia" w:eastAsiaTheme="minorEastAsia"/>
                <w:color w:val="000000" w:themeColor="text1"/>
                <w:lang w:eastAsia="zh-CN"/>
              </w:rPr>
              <w:t>m</w:t>
            </w:r>
            <w:r>
              <w:rPr>
                <w:rFonts w:hint="eastAsia" w:eastAsiaTheme="minorEastAsia"/>
                <w:strike w:val="0"/>
                <w:dstrike w:val="0"/>
                <w:color w:val="000000" w:themeColor="text1"/>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top"/>
          </w:tcPr>
          <w:p w14:paraId="7AD3AEF5">
            <w:pPr>
              <w:pStyle w:val="156"/>
              <w:snapToGrid w:val="0"/>
              <w:spacing w:before="14" w:line="240" w:lineRule="auto"/>
              <w:ind w:left="110" w:leftChars="0"/>
              <w:jc w:val="center"/>
              <w:rPr>
                <w:rFonts w:eastAsiaTheme="minorEastAsia"/>
                <w:color w:val="000000" w:themeColor="text1"/>
                <w:lang w:eastAsia="en-US"/>
              </w:rPr>
            </w:pPr>
            <w:r>
              <w:rPr>
                <w:rFonts w:hint="eastAsia" w:eastAsiaTheme="minorEastAsia"/>
                <w:color w:val="000000" w:themeColor="text1"/>
                <w:lang w:eastAsia="en-US"/>
              </w:rPr>
              <w:t>455</w:t>
            </w:r>
          </w:p>
        </w:tc>
      </w:tr>
      <w:tr w14:paraId="68C593D0">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top"/>
          </w:tcPr>
          <w:p w14:paraId="2AA28053">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（3）</w:t>
            </w:r>
          </w:p>
        </w:tc>
        <w:tc>
          <w:tcPr>
            <w:tcW w:w="3178" w:type="dxa"/>
            <w:tcBorders>
              <w:top w:val="single" w:color="000000" w:sz="4" w:space="0"/>
              <w:left w:val="single" w:color="000000" w:sz="4" w:space="0"/>
              <w:bottom w:val="single" w:color="000000" w:sz="4" w:space="0"/>
              <w:right w:val="single" w:color="000000" w:sz="4" w:space="0"/>
            </w:tcBorders>
            <w:vAlign w:val="top"/>
          </w:tcPr>
          <w:p w14:paraId="3FE77D00">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地面清理平整</w:t>
            </w:r>
          </w:p>
        </w:tc>
        <w:tc>
          <w:tcPr>
            <w:tcW w:w="2962" w:type="dxa"/>
            <w:tcBorders>
              <w:top w:val="single" w:color="000000" w:sz="4" w:space="0"/>
              <w:left w:val="single" w:color="000000" w:sz="4" w:space="0"/>
              <w:bottom w:val="single" w:color="000000" w:sz="4" w:space="0"/>
              <w:right w:val="single" w:color="000000" w:sz="4" w:space="0"/>
            </w:tcBorders>
            <w:vAlign w:val="top"/>
          </w:tcPr>
          <w:p w14:paraId="5C99D052">
            <w:pPr>
              <w:pStyle w:val="156"/>
              <w:snapToGrid w:val="0"/>
              <w:spacing w:before="16" w:line="240" w:lineRule="auto"/>
              <w:ind w:left="110" w:leftChars="0" w:right="1" w:rightChars="0"/>
              <w:jc w:val="center"/>
              <w:rPr>
                <w:rFonts w:hint="eastAsia" w:eastAsiaTheme="minorEastAsia"/>
                <w:color w:val="000000" w:themeColor="text1"/>
                <w:lang w:eastAsia="zh-CN"/>
              </w:rPr>
            </w:pPr>
            <w:r>
              <w:rPr>
                <w:rFonts w:hint="eastAsia" w:eastAsiaTheme="minorEastAsia"/>
                <w:color w:val="000000" w:themeColor="text1"/>
                <w:lang w:eastAsia="zh-CN"/>
              </w:rPr>
              <w:t>m</w:t>
            </w:r>
            <w:r>
              <w:rPr>
                <w:rFonts w:hint="eastAsia" w:eastAsiaTheme="minorEastAsia"/>
                <w:strike w:val="0"/>
                <w:dstrike w:val="0"/>
                <w:color w:val="000000" w:themeColor="text1"/>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top"/>
          </w:tcPr>
          <w:p w14:paraId="3AFE08E5">
            <w:pPr>
              <w:pStyle w:val="156"/>
              <w:snapToGrid w:val="0"/>
              <w:spacing w:before="13" w:line="240" w:lineRule="auto"/>
              <w:ind w:left="110" w:leftChars="0"/>
              <w:jc w:val="center"/>
              <w:rPr>
                <w:rFonts w:eastAsiaTheme="minorEastAsia"/>
                <w:color w:val="000000" w:themeColor="text1"/>
                <w:lang w:eastAsia="en-US"/>
              </w:rPr>
            </w:pPr>
            <w:r>
              <w:rPr>
                <w:rFonts w:hint="eastAsia" w:eastAsiaTheme="minorEastAsia"/>
                <w:color w:val="000000" w:themeColor="text1"/>
                <w:lang w:eastAsia="en-US"/>
              </w:rPr>
              <w:t>12540</w:t>
            </w:r>
          </w:p>
        </w:tc>
      </w:tr>
      <w:tr w14:paraId="6217CDB2">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731D4419">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（三）</w:t>
            </w:r>
          </w:p>
        </w:tc>
        <w:tc>
          <w:tcPr>
            <w:tcW w:w="3178" w:type="dxa"/>
            <w:tcBorders>
              <w:top w:val="single" w:color="000000" w:sz="4" w:space="0"/>
              <w:left w:val="single" w:color="000000" w:sz="4" w:space="0"/>
              <w:bottom w:val="single" w:color="000000" w:sz="4" w:space="0"/>
              <w:right w:val="single" w:color="000000" w:sz="4" w:space="0"/>
            </w:tcBorders>
            <w:vAlign w:val="center"/>
          </w:tcPr>
          <w:p w14:paraId="175C48BF">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土壤重构工程</w:t>
            </w:r>
          </w:p>
        </w:tc>
        <w:tc>
          <w:tcPr>
            <w:tcW w:w="2962" w:type="dxa"/>
            <w:tcBorders>
              <w:top w:val="single" w:color="000000" w:sz="4" w:space="0"/>
              <w:left w:val="single" w:color="000000" w:sz="4" w:space="0"/>
              <w:bottom w:val="single" w:color="000000" w:sz="4" w:space="0"/>
              <w:right w:val="single" w:color="000000" w:sz="4" w:space="0"/>
            </w:tcBorders>
            <w:vAlign w:val="center"/>
          </w:tcPr>
          <w:p w14:paraId="582F2CB0">
            <w:pPr>
              <w:pStyle w:val="156"/>
              <w:snapToGrid w:val="0"/>
              <w:spacing w:before="46" w:line="240" w:lineRule="auto"/>
              <w:ind w:left="110" w:leftChars="0"/>
              <w:jc w:val="center"/>
              <w:rPr>
                <w:rFonts w:eastAsiaTheme="minorEastAsia"/>
                <w:color w:val="000000" w:themeColor="text1"/>
                <w:lang w:eastAsia="en-US"/>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704271F6">
            <w:pPr>
              <w:pStyle w:val="156"/>
              <w:snapToGrid w:val="0"/>
              <w:spacing w:before="97" w:line="240" w:lineRule="auto"/>
              <w:ind w:left="110" w:leftChars="0"/>
              <w:jc w:val="center"/>
              <w:rPr>
                <w:rFonts w:eastAsiaTheme="minorEastAsia"/>
                <w:color w:val="000000" w:themeColor="text1"/>
                <w:lang w:eastAsia="en-US"/>
              </w:rPr>
            </w:pPr>
          </w:p>
        </w:tc>
      </w:tr>
      <w:tr w14:paraId="32407A6B">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1A0E8FD5">
            <w:pPr>
              <w:pStyle w:val="156"/>
              <w:snapToGrid w:val="0"/>
              <w:spacing w:line="240" w:lineRule="auto"/>
              <w:ind w:left="110" w:leftChars="0"/>
              <w:jc w:val="center"/>
              <w:rPr>
                <w:rFonts w:eastAsiaTheme="minorEastAsia"/>
                <w:color w:val="000000" w:themeColor="text1"/>
                <w:lang w:eastAsia="en-US"/>
              </w:rPr>
            </w:pPr>
            <w:r>
              <w:rPr>
                <w:rFonts w:hint="eastAsia" w:eastAsiaTheme="minorEastAsia"/>
                <w:color w:val="000000" w:themeColor="text1"/>
                <w:lang w:eastAsia="en-US"/>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7BEE31FD">
            <w:pPr>
              <w:pStyle w:val="156"/>
              <w:snapToGrid w:val="0"/>
              <w:spacing w:before="3" w:line="240" w:lineRule="auto"/>
              <w:ind w:left="110" w:leftChars="0" w:right="1" w:rightChars="0"/>
              <w:jc w:val="center"/>
              <w:rPr>
                <w:rFonts w:eastAsiaTheme="minorEastAsia"/>
                <w:color w:val="000000" w:themeColor="text1"/>
                <w:lang w:eastAsia="en-US"/>
              </w:rPr>
            </w:pPr>
            <w:r>
              <w:rPr>
                <w:rFonts w:eastAsiaTheme="minorEastAsia"/>
                <w:color w:val="000000" w:themeColor="text1"/>
                <w:lang w:eastAsia="en-US"/>
              </w:rPr>
              <w:t>表土</w:t>
            </w:r>
            <w:r>
              <w:rPr>
                <w:rFonts w:hint="eastAsia" w:eastAsiaTheme="minorEastAsia"/>
                <w:color w:val="000000" w:themeColor="text1"/>
                <w:lang w:val="en-US" w:eastAsia="zh-CN"/>
              </w:rPr>
              <w:t>运输</w:t>
            </w:r>
            <w:r>
              <w:rPr>
                <w:rFonts w:hint="eastAsia" w:eastAsiaTheme="minorEastAsia"/>
                <w:color w:val="000000" w:themeColor="text1"/>
                <w:lang w:eastAsia="en-US"/>
              </w:rPr>
              <w:t>回覆</w:t>
            </w:r>
          </w:p>
        </w:tc>
        <w:tc>
          <w:tcPr>
            <w:tcW w:w="2962" w:type="dxa"/>
            <w:tcBorders>
              <w:top w:val="single" w:color="000000" w:sz="4" w:space="0"/>
              <w:left w:val="single" w:color="000000" w:sz="4" w:space="0"/>
              <w:bottom w:val="single" w:color="000000" w:sz="4" w:space="0"/>
              <w:right w:val="single" w:color="000000" w:sz="4" w:space="0"/>
            </w:tcBorders>
            <w:vAlign w:val="center"/>
          </w:tcPr>
          <w:p w14:paraId="35B3E37F">
            <w:pPr>
              <w:pStyle w:val="156"/>
              <w:snapToGrid w:val="0"/>
              <w:spacing w:before="50" w:line="240" w:lineRule="auto"/>
              <w:ind w:left="110" w:leftChars="0"/>
              <w:jc w:val="center"/>
              <w:rPr>
                <w:rFonts w:hint="eastAsia" w:eastAsiaTheme="minorEastAsia"/>
                <w:color w:val="000000" w:themeColor="text1"/>
                <w:lang w:eastAsia="zh-CN"/>
              </w:rPr>
            </w:pPr>
            <w:r>
              <w:rPr>
                <w:rFonts w:hint="eastAsia" w:eastAsiaTheme="minorEastAsia"/>
                <w:color w:val="000000" w:themeColor="text1"/>
                <w:lang w:eastAsia="zh-CN"/>
              </w:rPr>
              <w:t>m</w:t>
            </w:r>
            <w:r>
              <w:rPr>
                <w:rFonts w:hint="eastAsia" w:eastAsiaTheme="minorEastAsia"/>
                <w:strike w:val="0"/>
                <w:dstrike w:val="0"/>
                <w:color w:val="000000" w:themeColor="text1"/>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center"/>
          </w:tcPr>
          <w:p w14:paraId="2BCDFD35">
            <w:pPr>
              <w:pStyle w:val="156"/>
              <w:snapToGrid w:val="0"/>
              <w:spacing w:before="49" w:line="240" w:lineRule="auto"/>
              <w:ind w:left="110" w:leftChars="0"/>
              <w:jc w:val="center"/>
              <w:rPr>
                <w:rFonts w:eastAsiaTheme="minorEastAsia"/>
                <w:color w:val="000000" w:themeColor="text1"/>
                <w:lang w:eastAsia="en-US"/>
              </w:rPr>
            </w:pPr>
            <w:r>
              <w:rPr>
                <w:rFonts w:hint="eastAsia" w:eastAsiaTheme="minorEastAsia"/>
                <w:color w:val="000000" w:themeColor="text1"/>
                <w:lang w:val="en-US" w:eastAsia="zh-CN"/>
              </w:rPr>
              <w:t>2700</w:t>
            </w:r>
          </w:p>
        </w:tc>
      </w:tr>
      <w:tr w14:paraId="0E1168D5">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top"/>
          </w:tcPr>
          <w:p w14:paraId="0050AA2D">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（四）</w:t>
            </w:r>
          </w:p>
        </w:tc>
        <w:tc>
          <w:tcPr>
            <w:tcW w:w="3178" w:type="dxa"/>
            <w:tcBorders>
              <w:top w:val="single" w:color="000000" w:sz="4" w:space="0"/>
              <w:left w:val="single" w:color="000000" w:sz="4" w:space="0"/>
              <w:bottom w:val="single" w:color="000000" w:sz="4" w:space="0"/>
              <w:right w:val="single" w:color="000000" w:sz="4" w:space="0"/>
            </w:tcBorders>
            <w:vAlign w:val="top"/>
          </w:tcPr>
          <w:p w14:paraId="4720843E">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植被重建工程</w:t>
            </w:r>
          </w:p>
        </w:tc>
        <w:tc>
          <w:tcPr>
            <w:tcW w:w="2962" w:type="dxa"/>
            <w:tcBorders>
              <w:top w:val="single" w:color="000000" w:sz="4" w:space="0"/>
              <w:left w:val="single" w:color="000000" w:sz="4" w:space="0"/>
              <w:bottom w:val="single" w:color="000000" w:sz="4" w:space="0"/>
              <w:right w:val="single" w:color="000000" w:sz="4" w:space="0"/>
            </w:tcBorders>
            <w:vAlign w:val="top"/>
          </w:tcPr>
          <w:p w14:paraId="59AAC97E">
            <w:pPr>
              <w:pStyle w:val="156"/>
              <w:snapToGrid w:val="0"/>
              <w:spacing w:line="240" w:lineRule="auto"/>
              <w:ind w:left="110" w:leftChars="0"/>
              <w:jc w:val="center"/>
              <w:rPr>
                <w:rFonts w:eastAsiaTheme="minorEastAsia"/>
                <w:color w:val="000000" w:themeColor="text1"/>
                <w:lang w:eastAsia="en-US"/>
              </w:rPr>
            </w:pPr>
          </w:p>
        </w:tc>
        <w:tc>
          <w:tcPr>
            <w:tcW w:w="1708" w:type="dxa"/>
            <w:tcBorders>
              <w:top w:val="single" w:color="000000" w:sz="4" w:space="0"/>
              <w:left w:val="single" w:color="000000" w:sz="4" w:space="0"/>
              <w:bottom w:val="single" w:color="000000" w:sz="4" w:space="0"/>
              <w:right w:val="single" w:color="000000" w:sz="12" w:space="0"/>
            </w:tcBorders>
            <w:vAlign w:val="top"/>
          </w:tcPr>
          <w:p w14:paraId="2C2976EC">
            <w:pPr>
              <w:pStyle w:val="156"/>
              <w:snapToGrid w:val="0"/>
              <w:spacing w:before="45" w:line="240" w:lineRule="auto"/>
              <w:ind w:left="110" w:leftChars="0"/>
              <w:jc w:val="center"/>
              <w:rPr>
                <w:rFonts w:eastAsiaTheme="minorEastAsia"/>
                <w:color w:val="000000" w:themeColor="text1"/>
                <w:lang w:eastAsia="en-US"/>
              </w:rPr>
            </w:pPr>
          </w:p>
        </w:tc>
      </w:tr>
      <w:tr w14:paraId="6DFA7498">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top"/>
          </w:tcPr>
          <w:p w14:paraId="421C7A87">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1</w:t>
            </w:r>
          </w:p>
        </w:tc>
        <w:tc>
          <w:tcPr>
            <w:tcW w:w="3178" w:type="dxa"/>
            <w:tcBorders>
              <w:top w:val="single" w:color="000000" w:sz="4" w:space="0"/>
              <w:left w:val="single" w:color="000000" w:sz="4" w:space="0"/>
              <w:bottom w:val="single" w:color="000000" w:sz="4" w:space="0"/>
              <w:right w:val="single" w:color="000000" w:sz="4" w:space="0"/>
            </w:tcBorders>
            <w:vAlign w:val="top"/>
          </w:tcPr>
          <w:p w14:paraId="66B34661">
            <w:pPr>
              <w:pStyle w:val="156"/>
              <w:snapToGrid w:val="0"/>
              <w:spacing w:line="240" w:lineRule="auto"/>
              <w:ind w:left="110" w:leftChars="0" w:right="1" w:rightChars="0"/>
              <w:jc w:val="center"/>
              <w:rPr>
                <w:rFonts w:ascii="Times New Roman" w:hAnsi="Times New Roman" w:cs="Times New Roman" w:eastAsiaTheme="minorEastAsia"/>
                <w:color w:val="000000" w:themeColor="text1"/>
                <w:lang w:eastAsia="en-US"/>
              </w:rPr>
            </w:pPr>
            <w:r>
              <w:rPr>
                <w:rFonts w:eastAsiaTheme="minorEastAsia"/>
                <w:color w:val="000000" w:themeColor="text1"/>
                <w:lang w:eastAsia="en-US"/>
              </w:rPr>
              <w:t>栽植乔木</w:t>
            </w:r>
          </w:p>
        </w:tc>
        <w:tc>
          <w:tcPr>
            <w:tcW w:w="2962" w:type="dxa"/>
            <w:tcBorders>
              <w:top w:val="single" w:color="000000" w:sz="4" w:space="0"/>
              <w:left w:val="single" w:color="000000" w:sz="4" w:space="0"/>
              <w:bottom w:val="single" w:color="000000" w:sz="4" w:space="0"/>
              <w:right w:val="single" w:color="000000" w:sz="4" w:space="0"/>
            </w:tcBorders>
            <w:vAlign w:val="top"/>
          </w:tcPr>
          <w:p w14:paraId="56D00F4C">
            <w:pPr>
              <w:pStyle w:val="156"/>
              <w:snapToGrid w:val="0"/>
              <w:spacing w:line="240" w:lineRule="auto"/>
              <w:ind w:left="110" w:leftChars="0"/>
              <w:jc w:val="center"/>
              <w:rPr>
                <w:rFonts w:ascii="Times New Roman" w:hAnsi="Times New Roman" w:cs="Times New Roman" w:eastAsiaTheme="minorEastAsia"/>
                <w:color w:val="000000" w:themeColor="text1"/>
                <w:kern w:val="0"/>
                <w:sz w:val="24"/>
                <w:szCs w:val="24"/>
                <w:lang w:eastAsia="en-US"/>
              </w:rPr>
            </w:pPr>
            <w:r>
              <w:rPr>
                <w:rFonts w:eastAsiaTheme="minorEastAsia"/>
                <w:color w:val="000000" w:themeColor="text1"/>
                <w:lang w:eastAsia="en-US"/>
              </w:rPr>
              <w:t>株</w:t>
            </w:r>
          </w:p>
        </w:tc>
        <w:tc>
          <w:tcPr>
            <w:tcW w:w="1708" w:type="dxa"/>
            <w:tcBorders>
              <w:top w:val="single" w:color="000000" w:sz="4" w:space="0"/>
              <w:left w:val="single" w:color="000000" w:sz="4" w:space="0"/>
              <w:bottom w:val="single" w:color="000000" w:sz="4" w:space="0"/>
              <w:right w:val="single" w:color="000000" w:sz="12" w:space="0"/>
            </w:tcBorders>
            <w:vAlign w:val="top"/>
          </w:tcPr>
          <w:p w14:paraId="09F90163">
            <w:pPr>
              <w:pStyle w:val="156"/>
              <w:snapToGrid w:val="0"/>
              <w:spacing w:before="45" w:line="240" w:lineRule="auto"/>
              <w:ind w:left="110" w:leftChars="0"/>
              <w:jc w:val="center"/>
              <w:rPr>
                <w:rFonts w:eastAsiaTheme="minorEastAsia"/>
                <w:color w:val="000000" w:themeColor="text1"/>
                <w:lang w:eastAsia="en-US"/>
              </w:rPr>
            </w:pPr>
            <w:r>
              <w:rPr>
                <w:rFonts w:hint="eastAsia" w:eastAsiaTheme="minorEastAsia"/>
                <w:color w:val="000000" w:themeColor="text1"/>
                <w:lang w:eastAsia="zh-CN"/>
              </w:rPr>
              <w:t>31350</w:t>
            </w:r>
          </w:p>
        </w:tc>
      </w:tr>
      <w:tr w14:paraId="2A235940">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top"/>
          </w:tcPr>
          <w:p w14:paraId="6C0D6074">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2</w:t>
            </w:r>
          </w:p>
        </w:tc>
        <w:tc>
          <w:tcPr>
            <w:tcW w:w="3178" w:type="dxa"/>
            <w:tcBorders>
              <w:top w:val="single" w:color="000000" w:sz="4" w:space="0"/>
              <w:left w:val="single" w:color="000000" w:sz="4" w:space="0"/>
              <w:bottom w:val="single" w:color="000000" w:sz="4" w:space="0"/>
              <w:right w:val="single" w:color="000000" w:sz="4" w:space="0"/>
            </w:tcBorders>
            <w:vAlign w:val="top"/>
          </w:tcPr>
          <w:p w14:paraId="1C702D80">
            <w:pPr>
              <w:pStyle w:val="156"/>
              <w:snapToGrid w:val="0"/>
              <w:spacing w:before="8" w:line="240" w:lineRule="auto"/>
              <w:ind w:left="110" w:leftChars="0" w:right="1" w:rightChars="0"/>
              <w:jc w:val="center"/>
              <w:rPr>
                <w:rFonts w:eastAsiaTheme="minorEastAsia"/>
                <w:color w:val="000000" w:themeColor="text1"/>
                <w:lang w:eastAsia="en-US"/>
              </w:rPr>
            </w:pPr>
            <w:r>
              <w:rPr>
                <w:rFonts w:eastAsiaTheme="minorEastAsia"/>
                <w:color w:val="000000" w:themeColor="text1"/>
                <w:lang w:eastAsia="en-US"/>
              </w:rPr>
              <w:t>栽植常春藤</w:t>
            </w:r>
          </w:p>
        </w:tc>
        <w:tc>
          <w:tcPr>
            <w:tcW w:w="2962" w:type="dxa"/>
            <w:tcBorders>
              <w:top w:val="single" w:color="000000" w:sz="4" w:space="0"/>
              <w:left w:val="single" w:color="000000" w:sz="4" w:space="0"/>
              <w:bottom w:val="single" w:color="000000" w:sz="4" w:space="0"/>
              <w:right w:val="single" w:color="000000" w:sz="4" w:space="0"/>
            </w:tcBorders>
            <w:vAlign w:val="top"/>
          </w:tcPr>
          <w:p w14:paraId="7981C0AA">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株</w:t>
            </w:r>
          </w:p>
        </w:tc>
        <w:tc>
          <w:tcPr>
            <w:tcW w:w="1708" w:type="dxa"/>
            <w:tcBorders>
              <w:top w:val="single" w:color="000000" w:sz="4" w:space="0"/>
              <w:left w:val="single" w:color="000000" w:sz="4" w:space="0"/>
              <w:bottom w:val="single" w:color="000000" w:sz="4" w:space="0"/>
              <w:right w:val="single" w:color="000000" w:sz="12" w:space="0"/>
            </w:tcBorders>
            <w:vAlign w:val="top"/>
          </w:tcPr>
          <w:p w14:paraId="57A11837">
            <w:pPr>
              <w:pStyle w:val="156"/>
              <w:snapToGrid w:val="0"/>
              <w:spacing w:before="45" w:line="240" w:lineRule="auto"/>
              <w:ind w:left="110" w:leftChars="0"/>
              <w:jc w:val="center"/>
              <w:rPr>
                <w:rFonts w:eastAsiaTheme="minorEastAsia"/>
                <w:color w:val="000000" w:themeColor="text1"/>
                <w:lang w:eastAsia="en-US"/>
              </w:rPr>
            </w:pPr>
            <w:r>
              <w:rPr>
                <w:rFonts w:hint="eastAsia" w:eastAsiaTheme="minorEastAsia"/>
                <w:color w:val="000000" w:themeColor="text1"/>
                <w:lang w:eastAsia="en-US"/>
              </w:rPr>
              <w:t>5200</w:t>
            </w:r>
          </w:p>
        </w:tc>
      </w:tr>
      <w:tr w14:paraId="42B90F0D">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top"/>
          </w:tcPr>
          <w:p w14:paraId="2C503C36">
            <w:pPr>
              <w:pStyle w:val="156"/>
              <w:snapToGrid w:val="0"/>
              <w:spacing w:line="240" w:lineRule="auto"/>
              <w:ind w:left="110" w:leftChars="0"/>
              <w:jc w:val="center"/>
              <w:rPr>
                <w:rFonts w:eastAsiaTheme="minorEastAsia"/>
                <w:color w:val="000000" w:themeColor="text1"/>
                <w:lang w:eastAsia="en-US"/>
              </w:rPr>
            </w:pPr>
            <w:r>
              <w:rPr>
                <w:rFonts w:eastAsiaTheme="minorEastAsia"/>
                <w:color w:val="000000" w:themeColor="text1"/>
                <w:lang w:eastAsia="en-US"/>
              </w:rPr>
              <w:t>（五）</w:t>
            </w:r>
          </w:p>
        </w:tc>
        <w:tc>
          <w:tcPr>
            <w:tcW w:w="3178" w:type="dxa"/>
            <w:tcBorders>
              <w:top w:val="single" w:color="000000" w:sz="4" w:space="0"/>
              <w:left w:val="single" w:color="000000" w:sz="4" w:space="0"/>
              <w:bottom w:val="single" w:color="000000" w:sz="4" w:space="0"/>
              <w:right w:val="single" w:color="000000" w:sz="4" w:space="0"/>
            </w:tcBorders>
            <w:vAlign w:val="top"/>
          </w:tcPr>
          <w:p w14:paraId="27504AD8">
            <w:pPr>
              <w:pStyle w:val="156"/>
              <w:snapToGrid w:val="0"/>
              <w:spacing w:line="240" w:lineRule="auto"/>
              <w:ind w:left="110" w:leftChars="0" w:right="1" w:rightChars="0"/>
              <w:jc w:val="center"/>
              <w:rPr>
                <w:rFonts w:eastAsiaTheme="minorEastAsia"/>
                <w:color w:val="000000" w:themeColor="text1"/>
                <w:lang w:eastAsia="en-US"/>
              </w:rPr>
            </w:pPr>
            <w:r>
              <w:rPr>
                <w:rFonts w:eastAsiaTheme="minorEastAsia"/>
                <w:color w:val="000000" w:themeColor="text1"/>
                <w:lang w:eastAsia="en-US"/>
              </w:rPr>
              <w:t>景观营建工程</w:t>
            </w:r>
          </w:p>
        </w:tc>
        <w:tc>
          <w:tcPr>
            <w:tcW w:w="2962" w:type="dxa"/>
            <w:tcBorders>
              <w:top w:val="single" w:color="000000" w:sz="4" w:space="0"/>
              <w:left w:val="single" w:color="000000" w:sz="4" w:space="0"/>
              <w:bottom w:val="single" w:color="000000" w:sz="4" w:space="0"/>
              <w:right w:val="single" w:color="000000" w:sz="4" w:space="0"/>
            </w:tcBorders>
            <w:vAlign w:val="top"/>
          </w:tcPr>
          <w:p w14:paraId="66123154">
            <w:pPr>
              <w:pStyle w:val="156"/>
              <w:snapToGrid w:val="0"/>
              <w:spacing w:line="240" w:lineRule="auto"/>
              <w:ind w:left="110" w:leftChars="0" w:right="1" w:rightChars="0"/>
              <w:jc w:val="center"/>
              <w:rPr>
                <w:rFonts w:eastAsiaTheme="minorEastAsia"/>
                <w:color w:val="000000" w:themeColor="text1"/>
                <w:lang w:eastAsia="en-US"/>
              </w:rPr>
            </w:pPr>
          </w:p>
        </w:tc>
        <w:tc>
          <w:tcPr>
            <w:tcW w:w="1708" w:type="dxa"/>
            <w:tcBorders>
              <w:top w:val="single" w:color="000000" w:sz="4" w:space="0"/>
              <w:left w:val="single" w:color="000000" w:sz="4" w:space="0"/>
              <w:bottom w:val="single" w:color="000000" w:sz="4" w:space="0"/>
              <w:right w:val="single" w:color="000000" w:sz="12" w:space="0"/>
            </w:tcBorders>
            <w:vAlign w:val="top"/>
          </w:tcPr>
          <w:p w14:paraId="5C01B920">
            <w:pPr>
              <w:pStyle w:val="156"/>
              <w:snapToGrid w:val="0"/>
              <w:spacing w:line="240" w:lineRule="auto"/>
              <w:ind w:left="110" w:leftChars="0" w:right="1" w:rightChars="0"/>
              <w:jc w:val="center"/>
              <w:rPr>
                <w:rFonts w:hint="eastAsia" w:eastAsiaTheme="minorEastAsia"/>
                <w:color w:val="000000" w:themeColor="text1"/>
                <w:lang w:eastAsia="zh-CN"/>
              </w:rPr>
            </w:pPr>
          </w:p>
        </w:tc>
      </w:tr>
      <w:tr w14:paraId="314DF879">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top"/>
          </w:tcPr>
          <w:p w14:paraId="4F0F7C15">
            <w:pPr>
              <w:pStyle w:val="156"/>
              <w:snapToGrid w:val="0"/>
              <w:spacing w:line="240" w:lineRule="auto"/>
              <w:ind w:left="110" w:leftChars="0" w:right="1" w:rightChars="0"/>
              <w:jc w:val="center"/>
              <w:rPr>
                <w:rFonts w:eastAsiaTheme="minorEastAsia"/>
                <w:color w:val="000000" w:themeColor="text1"/>
                <w:lang w:eastAsia="en-US"/>
              </w:rPr>
            </w:pPr>
            <w:r>
              <w:rPr>
                <w:rFonts w:eastAsiaTheme="minorEastAsia"/>
                <w:color w:val="000000" w:themeColor="text1"/>
                <w:lang w:eastAsia="en-US"/>
              </w:rPr>
              <w:t>1</w:t>
            </w:r>
          </w:p>
        </w:tc>
        <w:tc>
          <w:tcPr>
            <w:tcW w:w="3178" w:type="dxa"/>
            <w:tcBorders>
              <w:top w:val="single" w:color="000000" w:sz="4" w:space="0"/>
              <w:left w:val="single" w:color="000000" w:sz="4" w:space="0"/>
              <w:bottom w:val="single" w:color="000000" w:sz="4" w:space="0"/>
              <w:right w:val="single" w:color="000000" w:sz="4" w:space="0"/>
            </w:tcBorders>
            <w:vAlign w:val="top"/>
          </w:tcPr>
          <w:p w14:paraId="4A164592">
            <w:pPr>
              <w:pStyle w:val="156"/>
              <w:snapToGrid w:val="0"/>
              <w:spacing w:line="240" w:lineRule="auto"/>
              <w:ind w:left="110" w:leftChars="0" w:right="1" w:rightChars="0"/>
              <w:jc w:val="center"/>
              <w:rPr>
                <w:rFonts w:eastAsiaTheme="minorEastAsia"/>
                <w:color w:val="000000" w:themeColor="text1"/>
                <w:lang w:eastAsia="en-US"/>
              </w:rPr>
            </w:pPr>
            <w:r>
              <w:rPr>
                <w:rFonts w:eastAsiaTheme="minorEastAsia"/>
                <w:color w:val="000000" w:themeColor="text1"/>
                <w:lang w:eastAsia="en-US"/>
              </w:rPr>
              <w:t>警示牌</w:t>
            </w:r>
          </w:p>
        </w:tc>
        <w:tc>
          <w:tcPr>
            <w:tcW w:w="2962" w:type="dxa"/>
            <w:tcBorders>
              <w:top w:val="single" w:color="000000" w:sz="4" w:space="0"/>
              <w:left w:val="single" w:color="000000" w:sz="4" w:space="0"/>
              <w:bottom w:val="single" w:color="000000" w:sz="4" w:space="0"/>
              <w:right w:val="single" w:color="000000" w:sz="4" w:space="0"/>
            </w:tcBorders>
            <w:vAlign w:val="top"/>
          </w:tcPr>
          <w:p w14:paraId="109EA871">
            <w:pPr>
              <w:pStyle w:val="156"/>
              <w:snapToGrid w:val="0"/>
              <w:spacing w:line="240" w:lineRule="auto"/>
              <w:ind w:left="110" w:leftChars="0" w:right="1" w:rightChars="0"/>
              <w:jc w:val="center"/>
              <w:rPr>
                <w:rFonts w:eastAsiaTheme="minorEastAsia"/>
                <w:color w:val="000000" w:themeColor="text1"/>
                <w:lang w:eastAsia="en-US"/>
              </w:rPr>
            </w:pPr>
            <w:r>
              <w:rPr>
                <w:rFonts w:eastAsiaTheme="minorEastAsia"/>
                <w:color w:val="000000" w:themeColor="text1"/>
                <w:lang w:eastAsia="en-US"/>
              </w:rPr>
              <w:t>个</w:t>
            </w:r>
          </w:p>
        </w:tc>
        <w:tc>
          <w:tcPr>
            <w:tcW w:w="1708" w:type="dxa"/>
            <w:tcBorders>
              <w:top w:val="single" w:color="000000" w:sz="4" w:space="0"/>
              <w:left w:val="single" w:color="000000" w:sz="4" w:space="0"/>
              <w:bottom w:val="single" w:color="000000" w:sz="4" w:space="0"/>
              <w:right w:val="single" w:color="000000" w:sz="12" w:space="0"/>
            </w:tcBorders>
            <w:vAlign w:val="top"/>
          </w:tcPr>
          <w:p w14:paraId="752C491E">
            <w:pPr>
              <w:pStyle w:val="156"/>
              <w:snapToGrid w:val="0"/>
              <w:spacing w:line="240" w:lineRule="auto"/>
              <w:ind w:left="110" w:leftChars="0" w:right="1" w:rightChars="0"/>
              <w:jc w:val="center"/>
              <w:rPr>
                <w:rFonts w:eastAsiaTheme="minorEastAsia"/>
                <w:color w:val="000000" w:themeColor="text1"/>
                <w:lang w:eastAsia="en-US"/>
              </w:rPr>
            </w:pPr>
            <w:r>
              <w:rPr>
                <w:rFonts w:eastAsiaTheme="minorEastAsia"/>
                <w:color w:val="000000" w:themeColor="text1"/>
                <w:lang w:eastAsia="en-US"/>
              </w:rPr>
              <w:t>13</w:t>
            </w:r>
          </w:p>
        </w:tc>
      </w:tr>
      <w:tr w14:paraId="1207E4DF">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top"/>
          </w:tcPr>
          <w:p w14:paraId="29A3882A">
            <w:pPr>
              <w:pStyle w:val="156"/>
              <w:snapToGrid w:val="0"/>
              <w:spacing w:line="240" w:lineRule="auto"/>
              <w:ind w:left="110" w:leftChars="0" w:right="1" w:rightChars="0"/>
              <w:jc w:val="center"/>
              <w:rPr>
                <w:rFonts w:eastAsiaTheme="minorEastAsia"/>
                <w:color w:val="000000" w:themeColor="text1"/>
                <w:lang w:eastAsia="en-US"/>
              </w:rPr>
            </w:pPr>
            <w:r>
              <w:rPr>
                <w:rFonts w:eastAsiaTheme="minorEastAsia"/>
                <w:color w:val="000000" w:themeColor="text1"/>
                <w:lang w:eastAsia="en-US"/>
              </w:rPr>
              <w:t>2</w:t>
            </w:r>
          </w:p>
        </w:tc>
        <w:tc>
          <w:tcPr>
            <w:tcW w:w="3178" w:type="dxa"/>
            <w:tcBorders>
              <w:top w:val="single" w:color="000000" w:sz="4" w:space="0"/>
              <w:left w:val="single" w:color="000000" w:sz="4" w:space="0"/>
              <w:bottom w:val="single" w:color="000000" w:sz="4" w:space="0"/>
              <w:right w:val="single" w:color="000000" w:sz="4" w:space="0"/>
            </w:tcBorders>
            <w:vAlign w:val="top"/>
          </w:tcPr>
          <w:p w14:paraId="097E5423">
            <w:pPr>
              <w:pStyle w:val="156"/>
              <w:snapToGrid w:val="0"/>
              <w:spacing w:line="240" w:lineRule="auto"/>
              <w:ind w:left="110" w:leftChars="0" w:right="1" w:rightChars="0"/>
              <w:jc w:val="center"/>
              <w:rPr>
                <w:rFonts w:eastAsiaTheme="minorEastAsia"/>
                <w:color w:val="000000" w:themeColor="text1"/>
                <w:lang w:eastAsia="en-US"/>
              </w:rPr>
            </w:pPr>
            <w:r>
              <w:rPr>
                <w:rFonts w:eastAsiaTheme="minorEastAsia"/>
                <w:color w:val="000000" w:themeColor="text1"/>
                <w:lang w:eastAsia="en-US"/>
              </w:rPr>
              <w:t>开挖汇水渠</w:t>
            </w:r>
          </w:p>
        </w:tc>
        <w:tc>
          <w:tcPr>
            <w:tcW w:w="2962" w:type="dxa"/>
            <w:tcBorders>
              <w:top w:val="single" w:color="000000" w:sz="4" w:space="0"/>
              <w:left w:val="single" w:color="000000" w:sz="4" w:space="0"/>
              <w:bottom w:val="single" w:color="000000" w:sz="4" w:space="0"/>
              <w:right w:val="single" w:color="000000" w:sz="4" w:space="0"/>
            </w:tcBorders>
            <w:vAlign w:val="top"/>
          </w:tcPr>
          <w:p w14:paraId="2A03D8AF">
            <w:pPr>
              <w:pStyle w:val="156"/>
              <w:snapToGrid w:val="0"/>
              <w:spacing w:line="240" w:lineRule="auto"/>
              <w:ind w:left="110" w:leftChars="0" w:right="1" w:rightChars="0"/>
              <w:jc w:val="center"/>
              <w:rPr>
                <w:rFonts w:hint="eastAsia" w:eastAsiaTheme="minorEastAsia"/>
                <w:color w:val="000000" w:themeColor="text1"/>
                <w:lang w:eastAsia="zh-CN"/>
              </w:rPr>
            </w:pPr>
            <w:r>
              <w:rPr>
                <w:rFonts w:hint="eastAsia" w:eastAsiaTheme="minorEastAsia"/>
                <w:color w:val="000000" w:themeColor="text1"/>
                <w:lang w:eastAsia="zh-CN"/>
              </w:rPr>
              <w:t>m</w:t>
            </w:r>
            <w:r>
              <w:rPr>
                <w:rFonts w:hint="eastAsia" w:eastAsiaTheme="minorEastAsia"/>
                <w:strike w:val="0"/>
                <w:dstrike w:val="0"/>
                <w:color w:val="000000" w:themeColor="text1"/>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top"/>
          </w:tcPr>
          <w:p w14:paraId="58D26C8F">
            <w:pPr>
              <w:pStyle w:val="156"/>
              <w:snapToGrid w:val="0"/>
              <w:spacing w:line="240" w:lineRule="auto"/>
              <w:ind w:left="110" w:leftChars="0" w:right="1" w:rightChars="0"/>
              <w:jc w:val="center"/>
              <w:rPr>
                <w:rFonts w:eastAsiaTheme="minorEastAsia"/>
                <w:color w:val="000000" w:themeColor="text1"/>
                <w:lang w:eastAsia="en-US"/>
              </w:rPr>
            </w:pPr>
            <w:r>
              <w:rPr>
                <w:rFonts w:hint="eastAsia" w:eastAsiaTheme="minorEastAsia"/>
                <w:color w:val="000000" w:themeColor="text1"/>
                <w:lang w:eastAsia="en-US"/>
              </w:rPr>
              <w:t>9</w:t>
            </w:r>
            <w:r>
              <w:rPr>
                <w:rFonts w:eastAsiaTheme="minorEastAsia"/>
                <w:color w:val="000000" w:themeColor="text1"/>
                <w:lang w:eastAsia="en-US"/>
              </w:rPr>
              <w:t>00</w:t>
            </w:r>
          </w:p>
        </w:tc>
      </w:tr>
      <w:tr w14:paraId="3F299173">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tcPr>
          <w:p w14:paraId="343BC479">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（六）</w:t>
            </w:r>
          </w:p>
        </w:tc>
        <w:tc>
          <w:tcPr>
            <w:tcW w:w="3178" w:type="dxa"/>
            <w:tcBorders>
              <w:top w:val="single" w:color="000000" w:sz="4" w:space="0"/>
              <w:left w:val="single" w:color="000000" w:sz="4" w:space="0"/>
              <w:bottom w:val="single" w:color="000000" w:sz="4" w:space="0"/>
              <w:right w:val="single" w:color="000000" w:sz="4" w:space="0"/>
            </w:tcBorders>
          </w:tcPr>
          <w:p w14:paraId="2C7F7C47">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监测与管护</w:t>
            </w:r>
          </w:p>
        </w:tc>
        <w:tc>
          <w:tcPr>
            <w:tcW w:w="2962" w:type="dxa"/>
            <w:tcBorders>
              <w:top w:val="single" w:color="000000" w:sz="4" w:space="0"/>
              <w:left w:val="single" w:color="000000" w:sz="4" w:space="0"/>
              <w:bottom w:val="single" w:color="000000" w:sz="4" w:space="0"/>
              <w:right w:val="single" w:color="000000" w:sz="4" w:space="0"/>
            </w:tcBorders>
          </w:tcPr>
          <w:p w14:paraId="36B6C350">
            <w:pPr>
              <w:widowControl/>
              <w:topLinePunct/>
              <w:snapToGrid w:val="0"/>
              <w:spacing w:line="240" w:lineRule="auto"/>
              <w:jc w:val="center"/>
              <w:rPr>
                <w:rFonts w:ascii="Times New Roman" w:hAnsi="Times New Roman" w:cs="Times New Roman" w:eastAsiaTheme="minorEastAsia"/>
                <w:color w:val="000000" w:themeColor="text1"/>
                <w:lang w:eastAsia="en-US"/>
              </w:rPr>
            </w:pPr>
          </w:p>
        </w:tc>
        <w:tc>
          <w:tcPr>
            <w:tcW w:w="1708" w:type="dxa"/>
            <w:tcBorders>
              <w:top w:val="single" w:color="000000" w:sz="4" w:space="0"/>
              <w:left w:val="single" w:color="000000" w:sz="4" w:space="0"/>
              <w:bottom w:val="single" w:color="000000" w:sz="4" w:space="0"/>
              <w:right w:val="single" w:color="000000" w:sz="12" w:space="0"/>
            </w:tcBorders>
          </w:tcPr>
          <w:p w14:paraId="197CCE12">
            <w:pPr>
              <w:widowControl/>
              <w:topLinePunct/>
              <w:snapToGrid w:val="0"/>
              <w:spacing w:line="240" w:lineRule="auto"/>
              <w:jc w:val="center"/>
              <w:rPr>
                <w:rFonts w:ascii="Times New Roman" w:hAnsi="Times New Roman" w:cs="Times New Roman" w:eastAsiaTheme="minorEastAsia"/>
                <w:color w:val="000000" w:themeColor="text1"/>
                <w:lang w:eastAsia="en-US"/>
              </w:rPr>
            </w:pPr>
          </w:p>
        </w:tc>
      </w:tr>
      <w:tr w14:paraId="15D26F2B">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77441051">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7A0889EA">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矿山地质环境监测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01C4A604">
            <w:pPr>
              <w:widowControl/>
              <w:topLinePunct/>
              <w:snapToGrid w:val="0"/>
              <w:spacing w:line="240" w:lineRule="auto"/>
              <w:jc w:val="center"/>
              <w:rPr>
                <w:rFonts w:ascii="Times New Roman" w:hAnsi="Times New Roman" w:cs="Times New Roman" w:eastAsiaTheme="minorEastAsia"/>
                <w:color w:val="000000" w:themeColor="text1"/>
                <w:lang w:eastAsia="en-US"/>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346889A4">
            <w:pPr>
              <w:widowControl/>
              <w:topLinePunct/>
              <w:snapToGrid w:val="0"/>
              <w:spacing w:line="240" w:lineRule="auto"/>
              <w:jc w:val="center"/>
              <w:rPr>
                <w:rFonts w:ascii="Times New Roman" w:hAnsi="Times New Roman" w:cs="Times New Roman" w:eastAsiaTheme="minorEastAsia"/>
                <w:color w:val="000000" w:themeColor="text1"/>
                <w:lang w:eastAsia="en-US"/>
              </w:rPr>
            </w:pPr>
          </w:p>
        </w:tc>
      </w:tr>
      <w:tr w14:paraId="5DAD9818">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5A7CC248">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3A1FC5DC">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地质灾害监测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41269C08">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次</w:t>
            </w:r>
          </w:p>
        </w:tc>
        <w:tc>
          <w:tcPr>
            <w:tcW w:w="1708" w:type="dxa"/>
            <w:tcBorders>
              <w:top w:val="single" w:color="000000" w:sz="4" w:space="0"/>
              <w:left w:val="single" w:color="000000" w:sz="4" w:space="0"/>
              <w:bottom w:val="single" w:color="000000" w:sz="4" w:space="0"/>
              <w:right w:val="single" w:color="000000" w:sz="12" w:space="0"/>
            </w:tcBorders>
            <w:vAlign w:val="center"/>
          </w:tcPr>
          <w:p w14:paraId="4CB1009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1248</w:t>
            </w:r>
          </w:p>
        </w:tc>
      </w:tr>
      <w:tr w14:paraId="548D096D">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2C6E0E97">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（2）</w:t>
            </w:r>
          </w:p>
        </w:tc>
        <w:tc>
          <w:tcPr>
            <w:tcW w:w="3178" w:type="dxa"/>
            <w:tcBorders>
              <w:top w:val="single" w:color="000000" w:sz="4" w:space="0"/>
              <w:left w:val="single" w:color="000000" w:sz="4" w:space="0"/>
              <w:bottom w:val="single" w:color="000000" w:sz="4" w:space="0"/>
              <w:right w:val="single" w:color="000000" w:sz="4" w:space="0"/>
            </w:tcBorders>
            <w:vAlign w:val="center"/>
          </w:tcPr>
          <w:p w14:paraId="76D2997B">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地表水监测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0CAE2913">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次</w:t>
            </w:r>
          </w:p>
        </w:tc>
        <w:tc>
          <w:tcPr>
            <w:tcW w:w="1708" w:type="dxa"/>
            <w:tcBorders>
              <w:top w:val="single" w:color="000000" w:sz="4" w:space="0"/>
              <w:left w:val="single" w:color="000000" w:sz="4" w:space="0"/>
              <w:bottom w:val="single" w:color="000000" w:sz="4" w:space="0"/>
              <w:right w:val="single" w:color="000000" w:sz="12" w:space="0"/>
            </w:tcBorders>
            <w:vAlign w:val="center"/>
          </w:tcPr>
          <w:p w14:paraId="14FD175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416</w:t>
            </w:r>
          </w:p>
        </w:tc>
      </w:tr>
      <w:tr w14:paraId="1D1CB7C1">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670E1EBC">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2</w:t>
            </w:r>
          </w:p>
        </w:tc>
        <w:tc>
          <w:tcPr>
            <w:tcW w:w="3178" w:type="dxa"/>
            <w:tcBorders>
              <w:top w:val="single" w:color="000000" w:sz="4" w:space="0"/>
              <w:left w:val="single" w:color="000000" w:sz="4" w:space="0"/>
              <w:bottom w:val="single" w:color="000000" w:sz="4" w:space="0"/>
              <w:right w:val="single" w:color="000000" w:sz="4" w:space="0"/>
            </w:tcBorders>
            <w:vAlign w:val="center"/>
          </w:tcPr>
          <w:p w14:paraId="69A67A3B">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土地资源监测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11E50009">
            <w:pPr>
              <w:widowControl/>
              <w:topLinePunct/>
              <w:snapToGrid w:val="0"/>
              <w:spacing w:line="240" w:lineRule="auto"/>
              <w:jc w:val="center"/>
              <w:rPr>
                <w:rFonts w:ascii="Times New Roman" w:hAnsi="Times New Roman" w:cs="Times New Roman" w:eastAsiaTheme="minorEastAsia"/>
                <w:color w:val="000000" w:themeColor="text1"/>
                <w:lang w:eastAsia="en-US"/>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3A3DB9E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r>
      <w:tr w14:paraId="4FEF1030">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5A005641">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0883A1C7">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地形地貌景观监测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334897B1">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次</w:t>
            </w:r>
          </w:p>
        </w:tc>
        <w:tc>
          <w:tcPr>
            <w:tcW w:w="1708" w:type="dxa"/>
            <w:tcBorders>
              <w:top w:val="single" w:color="000000" w:sz="4" w:space="0"/>
              <w:left w:val="single" w:color="000000" w:sz="4" w:space="0"/>
              <w:bottom w:val="single" w:color="000000" w:sz="4" w:space="0"/>
              <w:right w:val="single" w:color="000000" w:sz="12" w:space="0"/>
            </w:tcBorders>
            <w:vAlign w:val="center"/>
          </w:tcPr>
          <w:p w14:paraId="55058A5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hint="eastAsia" w:ascii="Times New Roman" w:hAnsi="Times New Roman" w:cs="Times New Roman" w:eastAsiaTheme="minorEastAsia"/>
                <w:color w:val="000000" w:themeColor="text1"/>
                <w:kern w:val="0"/>
                <w:sz w:val="24"/>
                <w:szCs w:val="24"/>
                <w:lang w:eastAsia="en-US"/>
              </w:rPr>
              <w:t>104</w:t>
            </w:r>
          </w:p>
        </w:tc>
      </w:tr>
      <w:tr w14:paraId="354BAD0F">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0F2EC3B6">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3</w:t>
            </w:r>
          </w:p>
        </w:tc>
        <w:tc>
          <w:tcPr>
            <w:tcW w:w="3178" w:type="dxa"/>
            <w:tcBorders>
              <w:top w:val="single" w:color="000000" w:sz="4" w:space="0"/>
              <w:left w:val="single" w:color="000000" w:sz="4" w:space="0"/>
              <w:bottom w:val="single" w:color="000000" w:sz="4" w:space="0"/>
              <w:right w:val="single" w:color="000000" w:sz="4" w:space="0"/>
            </w:tcBorders>
            <w:vAlign w:val="center"/>
          </w:tcPr>
          <w:p w14:paraId="6841053E">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生态系统监测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03B6CD06">
            <w:pPr>
              <w:widowControl/>
              <w:topLinePunct/>
              <w:snapToGrid w:val="0"/>
              <w:spacing w:line="240" w:lineRule="auto"/>
              <w:jc w:val="center"/>
              <w:rPr>
                <w:rFonts w:ascii="Times New Roman" w:hAnsi="Times New Roman" w:cs="Times New Roman" w:eastAsiaTheme="minorEastAsia"/>
                <w:color w:val="000000" w:themeColor="text1"/>
                <w:lang w:eastAsia="en-US"/>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67A6282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r>
      <w:tr w14:paraId="740A449E">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50584EA6">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4868D5FD">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土壤质量监测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55956DBA">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次</w:t>
            </w:r>
          </w:p>
        </w:tc>
        <w:tc>
          <w:tcPr>
            <w:tcW w:w="1708" w:type="dxa"/>
            <w:tcBorders>
              <w:top w:val="single" w:color="000000" w:sz="4" w:space="0"/>
              <w:left w:val="single" w:color="000000" w:sz="4" w:space="0"/>
              <w:bottom w:val="single" w:color="000000" w:sz="4" w:space="0"/>
              <w:right w:val="single" w:color="000000" w:sz="12" w:space="0"/>
            </w:tcBorders>
            <w:vAlign w:val="center"/>
          </w:tcPr>
          <w:p w14:paraId="4D90C00E">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12</w:t>
            </w:r>
          </w:p>
        </w:tc>
      </w:tr>
      <w:tr w14:paraId="2FC88AAD">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7CD398AF">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（2）</w:t>
            </w:r>
          </w:p>
        </w:tc>
        <w:tc>
          <w:tcPr>
            <w:tcW w:w="3178" w:type="dxa"/>
            <w:tcBorders>
              <w:top w:val="single" w:color="000000" w:sz="4" w:space="0"/>
              <w:left w:val="single" w:color="000000" w:sz="4" w:space="0"/>
              <w:bottom w:val="single" w:color="000000" w:sz="4" w:space="0"/>
              <w:right w:val="single" w:color="000000" w:sz="4" w:space="0"/>
            </w:tcBorders>
            <w:vAlign w:val="center"/>
          </w:tcPr>
          <w:p w14:paraId="07A8C518">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复垦效果监测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33C5FA69">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次</w:t>
            </w:r>
          </w:p>
        </w:tc>
        <w:tc>
          <w:tcPr>
            <w:tcW w:w="1708" w:type="dxa"/>
            <w:tcBorders>
              <w:top w:val="single" w:color="000000" w:sz="4" w:space="0"/>
              <w:left w:val="single" w:color="000000" w:sz="4" w:space="0"/>
              <w:bottom w:val="single" w:color="000000" w:sz="4" w:space="0"/>
              <w:right w:val="single" w:color="000000" w:sz="12" w:space="0"/>
            </w:tcBorders>
            <w:vAlign w:val="center"/>
          </w:tcPr>
          <w:p w14:paraId="311ABF6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12</w:t>
            </w:r>
          </w:p>
        </w:tc>
      </w:tr>
      <w:tr w14:paraId="42C2F320">
        <w:tblPrEx>
          <w:tblCellMar>
            <w:top w:w="0" w:type="dxa"/>
            <w:left w:w="0" w:type="dxa"/>
            <w:bottom w:w="0" w:type="dxa"/>
            <w:right w:w="0" w:type="dxa"/>
          </w:tblCellMar>
        </w:tblPrEx>
        <w:trPr>
          <w:trHeight w:val="20" w:hRule="atLeast"/>
        </w:trPr>
        <w:tc>
          <w:tcPr>
            <w:tcW w:w="1281" w:type="dxa"/>
            <w:tcBorders>
              <w:top w:val="single" w:color="000000" w:sz="4" w:space="0"/>
              <w:left w:val="single" w:color="000000" w:sz="12" w:space="0"/>
              <w:bottom w:val="single" w:color="000000" w:sz="4" w:space="0"/>
              <w:right w:val="single" w:color="000000" w:sz="4" w:space="0"/>
            </w:tcBorders>
            <w:vAlign w:val="center"/>
          </w:tcPr>
          <w:p w14:paraId="5AF30954">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4</w:t>
            </w:r>
          </w:p>
        </w:tc>
        <w:tc>
          <w:tcPr>
            <w:tcW w:w="3178" w:type="dxa"/>
            <w:tcBorders>
              <w:top w:val="single" w:color="000000" w:sz="4" w:space="0"/>
              <w:left w:val="single" w:color="000000" w:sz="4" w:space="0"/>
              <w:bottom w:val="single" w:color="000000" w:sz="4" w:space="0"/>
              <w:right w:val="single" w:color="000000" w:sz="4" w:space="0"/>
            </w:tcBorders>
            <w:vAlign w:val="center"/>
          </w:tcPr>
          <w:p w14:paraId="0455D1D9">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管护</w:t>
            </w:r>
          </w:p>
        </w:tc>
        <w:tc>
          <w:tcPr>
            <w:tcW w:w="2962" w:type="dxa"/>
            <w:tcBorders>
              <w:top w:val="single" w:color="000000" w:sz="4" w:space="0"/>
              <w:left w:val="single" w:color="000000" w:sz="4" w:space="0"/>
              <w:bottom w:val="single" w:color="000000" w:sz="4" w:space="0"/>
              <w:right w:val="single" w:color="000000" w:sz="4" w:space="0"/>
            </w:tcBorders>
            <w:vAlign w:val="center"/>
          </w:tcPr>
          <w:p w14:paraId="3EAA0E05">
            <w:pPr>
              <w:widowControl/>
              <w:topLinePunct/>
              <w:snapToGrid w:val="0"/>
              <w:spacing w:line="240" w:lineRule="auto"/>
              <w:jc w:val="center"/>
              <w:rPr>
                <w:rFonts w:ascii="Times New Roman" w:hAnsi="Times New Roman" w:cs="Times New Roman" w:eastAsiaTheme="minorEastAsia"/>
                <w:color w:val="000000" w:themeColor="text1"/>
                <w:lang w:eastAsia="en-US"/>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17D556C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r>
      <w:tr w14:paraId="1B4153B1">
        <w:trPr>
          <w:trHeight w:val="20" w:hRule="atLeast"/>
        </w:trPr>
        <w:tc>
          <w:tcPr>
            <w:tcW w:w="1281" w:type="dxa"/>
            <w:tcBorders>
              <w:top w:val="single" w:color="000000" w:sz="4" w:space="0"/>
              <w:left w:val="single" w:color="000000" w:sz="12" w:space="0"/>
              <w:bottom w:val="single" w:color="000000" w:sz="12" w:space="0"/>
              <w:right w:val="single" w:color="000000" w:sz="4" w:space="0"/>
            </w:tcBorders>
            <w:vAlign w:val="center"/>
          </w:tcPr>
          <w:p w14:paraId="7C73D829">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（1）</w:t>
            </w:r>
          </w:p>
        </w:tc>
        <w:tc>
          <w:tcPr>
            <w:tcW w:w="3178" w:type="dxa"/>
            <w:tcBorders>
              <w:top w:val="single" w:color="000000" w:sz="4" w:space="0"/>
              <w:left w:val="single" w:color="000000" w:sz="4" w:space="0"/>
              <w:bottom w:val="single" w:color="000000" w:sz="12" w:space="0"/>
              <w:right w:val="single" w:color="000000" w:sz="4" w:space="0"/>
            </w:tcBorders>
            <w:vAlign w:val="center"/>
          </w:tcPr>
          <w:p w14:paraId="77951A52">
            <w:pPr>
              <w:widowControl/>
              <w:topLinePunct/>
              <w:snapToGrid w:val="0"/>
              <w:spacing w:line="240" w:lineRule="auto"/>
              <w:jc w:val="center"/>
              <w:rPr>
                <w:rFonts w:ascii="Times New Roman" w:hAnsi="Times New Roman" w:cs="Times New Roman" w:eastAsiaTheme="minorEastAsia"/>
                <w:color w:val="000000" w:themeColor="text1"/>
                <w:lang w:eastAsia="en-US"/>
              </w:rPr>
            </w:pPr>
            <w:r>
              <w:rPr>
                <w:rFonts w:ascii="Times New Roman" w:hAnsi="Times New Roman" w:cs="Times New Roman" w:eastAsiaTheme="minorEastAsia"/>
                <w:color w:val="000000" w:themeColor="text1"/>
                <w:kern w:val="0"/>
                <w:sz w:val="24"/>
                <w:szCs w:val="24"/>
                <w:lang w:eastAsia="en-US"/>
              </w:rPr>
              <w:t>管护</w:t>
            </w:r>
          </w:p>
        </w:tc>
        <w:tc>
          <w:tcPr>
            <w:tcW w:w="2962" w:type="dxa"/>
            <w:tcBorders>
              <w:top w:val="single" w:color="000000" w:sz="4" w:space="0"/>
              <w:left w:val="single" w:color="000000" w:sz="4" w:space="0"/>
              <w:bottom w:val="single" w:color="000000" w:sz="12" w:space="0"/>
              <w:right w:val="single" w:color="000000" w:sz="4" w:space="0"/>
            </w:tcBorders>
            <w:vAlign w:val="center"/>
          </w:tcPr>
          <w:p w14:paraId="66F5D27B">
            <w:pPr>
              <w:widowControl/>
              <w:topLinePunct/>
              <w:snapToGrid w:val="0"/>
              <w:spacing w:line="240" w:lineRule="auto"/>
              <w:jc w:val="center"/>
              <w:rPr>
                <w:rFonts w:hint="eastAsia" w:ascii="Times New Roman" w:hAnsi="Times New Roman" w:cs="Times New Roman" w:eastAsiaTheme="minorEastAsia"/>
                <w:color w:val="000000" w:themeColor="text1"/>
                <w:lang w:eastAsia="zh-CN"/>
              </w:rPr>
            </w:pPr>
            <w:r>
              <w:rPr>
                <w:rFonts w:ascii="Times New Roman" w:hAnsi="Times New Roman" w:cs="Times New Roman" w:eastAsiaTheme="minorEastAsia"/>
                <w:color w:val="000000" w:themeColor="text1"/>
                <w:kern w:val="0"/>
                <w:sz w:val="24"/>
                <w:szCs w:val="24"/>
                <w:lang w:eastAsia="en-US"/>
              </w:rPr>
              <w:t>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p>
        </w:tc>
        <w:tc>
          <w:tcPr>
            <w:tcW w:w="1708" w:type="dxa"/>
            <w:tcBorders>
              <w:top w:val="single" w:color="000000" w:sz="4" w:space="0"/>
              <w:left w:val="single" w:color="000000" w:sz="4" w:space="0"/>
              <w:bottom w:val="single" w:color="000000" w:sz="12" w:space="0"/>
              <w:right w:val="single" w:color="000000" w:sz="12" w:space="0"/>
            </w:tcBorders>
            <w:vAlign w:val="center"/>
          </w:tcPr>
          <w:p w14:paraId="735810D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3*</w:t>
            </w:r>
            <w:r>
              <w:rPr>
                <w:rFonts w:hint="eastAsia" w:ascii="Times New Roman" w:hAnsi="Times New Roman" w:cs="Times New Roman" w:eastAsiaTheme="minorEastAsia"/>
                <w:color w:val="000000" w:themeColor="text1"/>
                <w:kern w:val="0"/>
                <w:sz w:val="24"/>
                <w:szCs w:val="24"/>
                <w:lang w:eastAsia="en-US"/>
              </w:rPr>
              <w:t>12.54</w:t>
            </w:r>
          </w:p>
        </w:tc>
      </w:tr>
    </w:tbl>
    <w:p w14:paraId="7501A81D">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（三） 实施计划</w:t>
      </w:r>
    </w:p>
    <w:p w14:paraId="2E5AE1F9">
      <w:pPr>
        <w:pStyle w:val="178"/>
        <w:topLinePunct/>
        <w:rPr>
          <w:rFonts w:ascii="Times New Roman" w:hAnsi="Times New Roman" w:cs="Times New Roman"/>
          <w:color w:val="000000" w:themeColor="text1"/>
        </w:rPr>
      </w:pPr>
      <w:r>
        <w:rPr>
          <w:rFonts w:ascii="Times New Roman" w:hAnsi="Times New Roman" w:cs="Times New Roman"/>
          <w:color w:val="000000" w:themeColor="text1"/>
        </w:rPr>
        <w:t>方案涉及年限</w:t>
      </w:r>
      <w:r>
        <w:rPr>
          <w:rFonts w:hint="eastAsia" w:ascii="Times New Roman" w:hAnsi="Times New Roman" w:cs="Times New Roman"/>
          <w:color w:val="000000" w:themeColor="text1"/>
        </w:rPr>
        <w:t>26</w:t>
      </w:r>
      <w:r>
        <w:rPr>
          <w:rFonts w:ascii="Times New Roman" w:hAnsi="Times New Roman" w:cs="Times New Roman"/>
          <w:color w:val="000000" w:themeColor="text1"/>
        </w:rPr>
        <w:t>年，分为3个阶段：其中矿山生产服务年限约</w:t>
      </w:r>
      <w:r>
        <w:rPr>
          <w:rFonts w:hint="eastAsia" w:ascii="Times New Roman" w:hAnsi="Times New Roman" w:cs="Times New Roman"/>
          <w:color w:val="000000" w:themeColor="text1"/>
        </w:rPr>
        <w:t>26</w:t>
      </w:r>
      <w:r>
        <w:rPr>
          <w:rFonts w:ascii="Times New Roman" w:hAnsi="Times New Roman" w:cs="Times New Roman"/>
          <w:color w:val="000000" w:themeColor="text1"/>
        </w:rPr>
        <w:t>年，矿山生态修复施工期</w:t>
      </w:r>
      <w:r>
        <w:rPr>
          <w:rFonts w:hint="eastAsia" w:ascii="Times New Roman" w:hAnsi="Times New Roman" w:cs="Times New Roman"/>
          <w:color w:val="000000" w:themeColor="text1"/>
        </w:rPr>
        <w:t>1</w:t>
      </w:r>
      <w:r>
        <w:rPr>
          <w:rFonts w:ascii="Times New Roman" w:hAnsi="Times New Roman" w:cs="Times New Roman"/>
          <w:color w:val="000000" w:themeColor="text1"/>
        </w:rPr>
        <w:t>年，管护期3年。阶段实施计划如下：</w:t>
      </w:r>
    </w:p>
    <w:p w14:paraId="662D985D">
      <w:pPr>
        <w:pStyle w:val="178"/>
        <w:topLinePunct/>
        <w:rPr>
          <w:rFonts w:ascii="Times New Roman" w:hAnsi="Times New Roman" w:cs="Times New Roman"/>
          <w:color w:val="000000" w:themeColor="text1"/>
        </w:rPr>
      </w:pPr>
      <w:r>
        <w:rPr>
          <w:rFonts w:ascii="Times New Roman" w:hAnsi="Times New Roman" w:cs="Times New Roman"/>
          <w:color w:val="000000" w:themeColor="text1"/>
        </w:rPr>
        <w:t>1、2026年1月~20</w:t>
      </w:r>
      <w:r>
        <w:rPr>
          <w:rFonts w:hint="eastAsia" w:ascii="Times New Roman" w:hAnsi="Times New Roman" w:cs="Times New Roman"/>
          <w:color w:val="000000" w:themeColor="text1"/>
        </w:rPr>
        <w:t>51</w:t>
      </w:r>
      <w:r>
        <w:rPr>
          <w:rFonts w:ascii="Times New Roman" w:hAnsi="Times New Roman" w:cs="Times New Roman"/>
          <w:color w:val="000000" w:themeColor="text1"/>
        </w:rPr>
        <w:t>年</w:t>
      </w:r>
      <w:r>
        <w:rPr>
          <w:rFonts w:hint="eastAsia" w:ascii="Times New Roman" w:hAnsi="Times New Roman" w:cs="Times New Roman"/>
          <w:color w:val="000000" w:themeColor="text1"/>
        </w:rPr>
        <w:t>12</w:t>
      </w:r>
      <w:r>
        <w:rPr>
          <w:rFonts w:ascii="Times New Roman" w:hAnsi="Times New Roman" w:cs="Times New Roman"/>
          <w:color w:val="000000" w:themeColor="text1"/>
        </w:rPr>
        <w:t>月</w:t>
      </w:r>
    </w:p>
    <w:p w14:paraId="00DB240C">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在露天采场四周布置警示牌，防止矿山附近农业生产人员误入采场从而引发危险。对矿山进行矿山地质环境监测、土地资源监测。</w:t>
      </w:r>
    </w:p>
    <w:p w14:paraId="7B053FA5">
      <w:pPr>
        <w:pStyle w:val="178"/>
        <w:topLinePunct/>
        <w:rPr>
          <w:rFonts w:ascii="Times New Roman" w:hAnsi="Times New Roman" w:cs="Times New Roman"/>
          <w:color w:val="000000" w:themeColor="text1"/>
        </w:rPr>
      </w:pPr>
      <w:r>
        <w:rPr>
          <w:rFonts w:ascii="Times New Roman" w:hAnsi="Times New Roman" w:cs="Times New Roman"/>
          <w:color w:val="000000" w:themeColor="text1"/>
        </w:rPr>
        <w:t>2、20</w:t>
      </w:r>
      <w:r>
        <w:rPr>
          <w:rFonts w:hint="eastAsia" w:ascii="Times New Roman" w:hAnsi="Times New Roman" w:cs="Times New Roman"/>
          <w:color w:val="000000" w:themeColor="text1"/>
        </w:rPr>
        <w:t>52</w:t>
      </w:r>
      <w:r>
        <w:rPr>
          <w:rFonts w:ascii="Times New Roman" w:hAnsi="Times New Roman" w:cs="Times New Roman"/>
          <w:color w:val="000000" w:themeColor="text1"/>
        </w:rPr>
        <w:t>年</w:t>
      </w:r>
      <w:r>
        <w:rPr>
          <w:rFonts w:hint="eastAsia" w:ascii="Times New Roman" w:hAnsi="Times New Roman" w:cs="Times New Roman"/>
          <w:color w:val="000000" w:themeColor="text1"/>
        </w:rPr>
        <w:t>1</w:t>
      </w:r>
      <w:r>
        <w:rPr>
          <w:rFonts w:ascii="Times New Roman" w:hAnsi="Times New Roman" w:cs="Times New Roman"/>
          <w:color w:val="000000" w:themeColor="text1"/>
        </w:rPr>
        <w:t>月~20</w:t>
      </w:r>
      <w:r>
        <w:rPr>
          <w:rFonts w:hint="eastAsia" w:ascii="Times New Roman" w:hAnsi="Times New Roman" w:cs="Times New Roman"/>
          <w:color w:val="000000" w:themeColor="text1"/>
        </w:rPr>
        <w:t>52</w:t>
      </w:r>
      <w:r>
        <w:rPr>
          <w:rFonts w:ascii="Times New Roman" w:hAnsi="Times New Roman" w:cs="Times New Roman"/>
          <w:color w:val="000000" w:themeColor="text1"/>
        </w:rPr>
        <w:t>年12月</w:t>
      </w:r>
    </w:p>
    <w:p w14:paraId="30A82A76">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矿山终采后，对露天采场底部合围区、开采平台、排土场修复为乔木林地。修复施工期间，监测人员对工程项目进行监测，查看各项修复工程实施范围、质量及进度。</w:t>
      </w:r>
    </w:p>
    <w:p w14:paraId="5833546F">
      <w:pPr>
        <w:pStyle w:val="178"/>
        <w:topLinePunct/>
        <w:rPr>
          <w:rFonts w:ascii="Times New Roman" w:hAnsi="Times New Roman" w:cs="Times New Roman"/>
          <w:color w:val="000000" w:themeColor="text1"/>
        </w:rPr>
      </w:pPr>
      <w:r>
        <w:rPr>
          <w:rFonts w:ascii="Times New Roman" w:hAnsi="Times New Roman" w:cs="Times New Roman"/>
          <w:color w:val="000000" w:themeColor="text1"/>
        </w:rPr>
        <w:t>3、20</w:t>
      </w:r>
      <w:r>
        <w:rPr>
          <w:rFonts w:hint="eastAsia" w:ascii="Times New Roman" w:hAnsi="Times New Roman" w:cs="Times New Roman"/>
          <w:color w:val="000000" w:themeColor="text1"/>
        </w:rPr>
        <w:t>53</w:t>
      </w:r>
      <w:r>
        <w:rPr>
          <w:rFonts w:ascii="Times New Roman" w:hAnsi="Times New Roman" w:cs="Times New Roman"/>
          <w:color w:val="000000" w:themeColor="text1"/>
        </w:rPr>
        <w:t>年1月~20</w:t>
      </w:r>
      <w:r>
        <w:rPr>
          <w:rFonts w:hint="eastAsia" w:ascii="Times New Roman" w:hAnsi="Times New Roman" w:cs="Times New Roman"/>
          <w:color w:val="000000" w:themeColor="text1"/>
        </w:rPr>
        <w:t>55</w:t>
      </w:r>
      <w:r>
        <w:rPr>
          <w:rFonts w:ascii="Times New Roman" w:hAnsi="Times New Roman" w:cs="Times New Roman"/>
          <w:color w:val="000000" w:themeColor="text1"/>
        </w:rPr>
        <w:t>年12月</w:t>
      </w:r>
    </w:p>
    <w:p w14:paraId="3D2135A9">
      <w:pPr>
        <w:pStyle w:val="178"/>
        <w:topLinePunct/>
        <w:rPr>
          <w:rFonts w:ascii="Times New Roman" w:hAnsi="Times New Roman" w:cs="Times New Roman"/>
          <w:color w:val="000000" w:themeColor="text1"/>
        </w:rPr>
      </w:pPr>
      <w:r>
        <w:rPr>
          <w:rFonts w:ascii="Times New Roman" w:hAnsi="Times New Roman" w:cs="Times New Roman"/>
          <w:color w:val="000000" w:themeColor="text1"/>
        </w:rPr>
        <w:t>管护期安排具备林业管护知识的专业技术人员负责管护工作，并进行生态系统监测。</w:t>
      </w:r>
    </w:p>
    <w:p w14:paraId="6AB20105">
      <w:pPr>
        <w:pStyle w:val="174"/>
        <w:topLinePunct/>
        <w:rPr>
          <w:rFonts w:ascii="Times New Roman" w:hAnsi="Times New Roman" w:cs="Times New Roman"/>
          <w:color w:val="000000" w:themeColor="text1"/>
          <w:sz w:val="28"/>
          <w:szCs w:val="28"/>
        </w:rPr>
      </w:pPr>
      <w:bookmarkStart w:id="39" w:name="_Toc772"/>
      <w:r>
        <w:rPr>
          <w:rFonts w:ascii="Times New Roman" w:hAnsi="Times New Roman" w:cs="Times New Roman"/>
          <w:color w:val="000000" w:themeColor="text1"/>
          <w:sz w:val="28"/>
          <w:szCs w:val="28"/>
        </w:rPr>
        <w:t>二、总体经费估算</w:t>
      </w:r>
      <w:bookmarkEnd w:id="39"/>
    </w:p>
    <w:p w14:paraId="209EA4AA">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（一）经费估算依据</w:t>
      </w:r>
    </w:p>
    <w:p w14:paraId="13C5669A">
      <w:pPr>
        <w:pStyle w:val="178"/>
        <w:topLinePunct/>
        <w:rPr>
          <w:rFonts w:ascii="Times New Roman" w:hAnsi="Times New Roman" w:cs="Times New Roman"/>
          <w:color w:val="000000" w:themeColor="text1"/>
        </w:rPr>
      </w:pPr>
      <w:r>
        <w:rPr>
          <w:rFonts w:ascii="Times New Roman" w:hAnsi="Times New Roman" w:cs="Times New Roman"/>
          <w:color w:val="000000" w:themeColor="text1"/>
        </w:rPr>
        <w:t>1、本次估算依据如下：</w:t>
      </w:r>
    </w:p>
    <w:p w14:paraId="239A4F06">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（1）《土地复垦方案编制实务》（2011年6月国土资源部土地整理中心编著）；</w:t>
      </w:r>
    </w:p>
    <w:p w14:paraId="48CACD71">
      <w:pPr>
        <w:pStyle w:val="178"/>
        <w:topLinePunct/>
        <w:rPr>
          <w:rFonts w:ascii="Times New Roman" w:hAnsi="Times New Roman" w:cs="Times New Roman"/>
          <w:color w:val="000000" w:themeColor="text1"/>
        </w:rPr>
      </w:pPr>
      <w:r>
        <w:rPr>
          <w:rFonts w:ascii="Times New Roman" w:hAnsi="Times New Roman" w:cs="Times New Roman"/>
          <w:color w:val="000000" w:themeColor="text1"/>
        </w:rPr>
        <w:t>（2）《黑龙江省土地开发整理项目预算定额标准》（黑财建〔2013〕294号）；</w:t>
      </w:r>
    </w:p>
    <w:p w14:paraId="2597BC47">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（3）《国土资源部办公厅关于印发土地整治工程营业税改征增值税计价依据调整过渡实施方案的通知》（国土资厅发〔2017〕19号）；</w:t>
      </w:r>
    </w:p>
    <w:p w14:paraId="533D6765">
      <w:pPr>
        <w:pStyle w:val="178"/>
        <w:topLinePunct/>
        <w:rPr>
          <w:rFonts w:ascii="Times New Roman" w:hAnsi="Times New Roman" w:cs="Times New Roman"/>
          <w:color w:val="000000" w:themeColor="text1"/>
        </w:rPr>
      </w:pPr>
      <w:r>
        <w:rPr>
          <w:rFonts w:ascii="Times New Roman" w:hAnsi="Times New Roman" w:cs="Times New Roman"/>
          <w:color w:val="000000" w:themeColor="text1"/>
        </w:rPr>
        <w:t>（4）《住房和城乡建设部办公厅关于重新调整建设工程计价依据增值税税率的通知》（建办标函〔2019〕193号）；</w:t>
      </w:r>
    </w:p>
    <w:p w14:paraId="1AC592E5">
      <w:pPr>
        <w:pStyle w:val="178"/>
        <w:topLinePunct/>
        <w:rPr>
          <w:rFonts w:ascii="Times New Roman" w:hAnsi="Times New Roman" w:cs="Times New Roman"/>
          <w:color w:val="000000" w:themeColor="text1"/>
        </w:rPr>
      </w:pPr>
      <w:r>
        <w:rPr>
          <w:rFonts w:ascii="Times New Roman" w:hAnsi="Times New Roman" w:cs="Times New Roman"/>
          <w:color w:val="000000" w:themeColor="text1"/>
        </w:rPr>
        <w:t>（5）《财政部 税务总局 海关总署关于深化增值税改革有关政策的公告》（财政部 税务总局 海关总署公告2019年第39号）；</w:t>
      </w:r>
    </w:p>
    <w:p w14:paraId="22101647">
      <w:pPr>
        <w:pStyle w:val="178"/>
        <w:topLinePunct/>
        <w:rPr>
          <w:rFonts w:ascii="Times New Roman" w:hAnsi="Times New Roman" w:cs="Times New Roman"/>
          <w:color w:val="000000" w:themeColor="text1"/>
        </w:rPr>
      </w:pPr>
      <w:r>
        <w:rPr>
          <w:rFonts w:ascii="Times New Roman" w:hAnsi="Times New Roman" w:cs="Times New Roman"/>
          <w:color w:val="000000" w:themeColor="text1"/>
        </w:rPr>
        <w:t>（6）材料价格采用鸡东县2025年第三季度市场价。</w:t>
      </w:r>
    </w:p>
    <w:p w14:paraId="686FE0A2">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2、取费标准及计算方法</w:t>
      </w:r>
    </w:p>
    <w:p w14:paraId="66B11FD3">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（1）基础单价</w:t>
      </w:r>
    </w:p>
    <w:p w14:paraId="05E01D6A">
      <w:pPr>
        <w:pStyle w:val="178"/>
        <w:topLinePunct/>
        <w:rPr>
          <w:rFonts w:ascii="Times New Roman" w:hAnsi="Times New Roman" w:cs="Times New Roman"/>
          <w:color w:val="000000" w:themeColor="text1"/>
        </w:rPr>
      </w:pPr>
      <w:r>
        <w:rPr>
          <w:rFonts w:ascii="Times New Roman" w:hAnsi="Times New Roman" w:cs="Times New Roman"/>
          <w:color w:val="000000" w:themeColor="text1"/>
        </w:rPr>
        <w:t>1）人工工资</w:t>
      </w:r>
    </w:p>
    <w:p w14:paraId="30FEFFE6">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根据《黑龙江省土地开发整理项目预算定额标准》，确定甲类工和乙类工的日工资水平。本方案确定甲类工的工日单价58.04元/工日，乙类工的工日单价为45.03元/工日。</w:t>
      </w:r>
    </w:p>
    <w:p w14:paraId="1580A1CC">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表6-2 甲类工日单价计算表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249"/>
        <w:gridCol w:w="2329"/>
        <w:gridCol w:w="4324"/>
        <w:gridCol w:w="1198"/>
      </w:tblGrid>
      <w:tr w14:paraId="2AE362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blHeader/>
          <w:jc w:val="center"/>
        </w:trPr>
        <w:tc>
          <w:tcPr>
            <w:tcW w:w="1155" w:type="dxa"/>
            <w:noWrap/>
            <w:vAlign w:val="center"/>
          </w:tcPr>
          <w:p w14:paraId="50107358">
            <w:pPr>
              <w:widowControl/>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序号</w:t>
            </w:r>
          </w:p>
        </w:tc>
        <w:tc>
          <w:tcPr>
            <w:tcW w:w="2153" w:type="dxa"/>
            <w:noWrap/>
            <w:vAlign w:val="center"/>
          </w:tcPr>
          <w:p w14:paraId="5B257370">
            <w:pPr>
              <w:widowControl/>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项目</w:t>
            </w:r>
          </w:p>
        </w:tc>
        <w:tc>
          <w:tcPr>
            <w:tcW w:w="3998" w:type="dxa"/>
            <w:noWrap/>
            <w:vAlign w:val="center"/>
          </w:tcPr>
          <w:p w14:paraId="038CEF2A">
            <w:pPr>
              <w:widowControl/>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计算式</w:t>
            </w:r>
          </w:p>
        </w:tc>
        <w:tc>
          <w:tcPr>
            <w:tcW w:w="1108" w:type="dxa"/>
            <w:noWrap/>
            <w:vAlign w:val="center"/>
          </w:tcPr>
          <w:p w14:paraId="782A490B">
            <w:pPr>
              <w:widowControl/>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单价（元）</w:t>
            </w:r>
          </w:p>
        </w:tc>
      </w:tr>
      <w:tr w14:paraId="4268D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0602E939">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153" w:type="dxa"/>
            <w:noWrap/>
            <w:vAlign w:val="center"/>
          </w:tcPr>
          <w:p w14:paraId="44B604B0">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基本工资</w:t>
            </w:r>
          </w:p>
        </w:tc>
        <w:tc>
          <w:tcPr>
            <w:tcW w:w="3998" w:type="dxa"/>
            <w:noWrap/>
            <w:vAlign w:val="center"/>
          </w:tcPr>
          <w:p w14:paraId="2C201904">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540×12÷（250－10）</w:t>
            </w:r>
          </w:p>
        </w:tc>
        <w:tc>
          <w:tcPr>
            <w:tcW w:w="1108" w:type="dxa"/>
            <w:noWrap/>
            <w:vAlign w:val="center"/>
          </w:tcPr>
          <w:p w14:paraId="61FE731A">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27</w:t>
            </w:r>
          </w:p>
        </w:tc>
      </w:tr>
      <w:tr w14:paraId="58CD57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4474DE0D">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153" w:type="dxa"/>
            <w:noWrap/>
            <w:vAlign w:val="center"/>
          </w:tcPr>
          <w:p w14:paraId="45D591F6">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辅助工资</w:t>
            </w:r>
          </w:p>
        </w:tc>
        <w:tc>
          <w:tcPr>
            <w:tcW w:w="3998" w:type="dxa"/>
            <w:noWrap/>
            <w:vAlign w:val="center"/>
          </w:tcPr>
          <w:p w14:paraId="6C286E49">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以下四项之和</w:t>
            </w:r>
          </w:p>
        </w:tc>
        <w:tc>
          <w:tcPr>
            <w:tcW w:w="1108" w:type="dxa"/>
            <w:noWrap/>
            <w:vAlign w:val="center"/>
          </w:tcPr>
          <w:p w14:paraId="34CD1926">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8.94</w:t>
            </w:r>
          </w:p>
        </w:tc>
      </w:tr>
      <w:tr w14:paraId="7F87FB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478F0F03">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153" w:type="dxa"/>
            <w:noWrap/>
            <w:vAlign w:val="center"/>
          </w:tcPr>
          <w:p w14:paraId="1E521DF3">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地区津贴</w:t>
            </w:r>
          </w:p>
        </w:tc>
        <w:tc>
          <w:tcPr>
            <w:tcW w:w="3998" w:type="dxa"/>
            <w:noWrap/>
            <w:vAlign w:val="center"/>
          </w:tcPr>
          <w:p w14:paraId="628E9B09">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45×12÷（250-10）</w:t>
            </w:r>
          </w:p>
        </w:tc>
        <w:tc>
          <w:tcPr>
            <w:tcW w:w="1108" w:type="dxa"/>
            <w:noWrap/>
            <w:vAlign w:val="center"/>
          </w:tcPr>
          <w:p w14:paraId="42265668">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2.25</w:t>
            </w:r>
          </w:p>
        </w:tc>
      </w:tr>
      <w:tr w14:paraId="2CB901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7332A7CB">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153" w:type="dxa"/>
            <w:noWrap/>
            <w:vAlign w:val="center"/>
          </w:tcPr>
          <w:p w14:paraId="2A99D75B">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施工津贴</w:t>
            </w:r>
          </w:p>
        </w:tc>
        <w:tc>
          <w:tcPr>
            <w:tcW w:w="3998" w:type="dxa"/>
            <w:noWrap/>
            <w:vAlign w:val="center"/>
          </w:tcPr>
          <w:p w14:paraId="58B5C66F">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3.5×365×0.95÷（250-10）</w:t>
            </w:r>
          </w:p>
        </w:tc>
        <w:tc>
          <w:tcPr>
            <w:tcW w:w="1108" w:type="dxa"/>
            <w:noWrap/>
            <w:vAlign w:val="center"/>
          </w:tcPr>
          <w:p w14:paraId="4FC3D463">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5.06</w:t>
            </w:r>
          </w:p>
        </w:tc>
      </w:tr>
      <w:tr w14:paraId="3547E6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4338C46D">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153" w:type="dxa"/>
            <w:noWrap/>
            <w:vAlign w:val="center"/>
          </w:tcPr>
          <w:p w14:paraId="0CC7BD8E">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夜餐津贴</w:t>
            </w:r>
          </w:p>
        </w:tc>
        <w:tc>
          <w:tcPr>
            <w:tcW w:w="3998" w:type="dxa"/>
            <w:noWrap/>
            <w:vAlign w:val="center"/>
          </w:tcPr>
          <w:p w14:paraId="434D03F2">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（3.5+4.5）÷2×0.2</w:t>
            </w:r>
          </w:p>
        </w:tc>
        <w:tc>
          <w:tcPr>
            <w:tcW w:w="1108" w:type="dxa"/>
            <w:noWrap/>
            <w:vAlign w:val="center"/>
          </w:tcPr>
          <w:p w14:paraId="22A9A188">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0.8</w:t>
            </w:r>
          </w:p>
        </w:tc>
      </w:tr>
      <w:tr w14:paraId="5B5DE1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1EEAE2FC">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2153" w:type="dxa"/>
            <w:noWrap/>
            <w:vAlign w:val="center"/>
          </w:tcPr>
          <w:p w14:paraId="78716B7F">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节日加班津贴</w:t>
            </w:r>
          </w:p>
        </w:tc>
        <w:tc>
          <w:tcPr>
            <w:tcW w:w="3998" w:type="dxa"/>
            <w:noWrap/>
            <w:vAlign w:val="center"/>
          </w:tcPr>
          <w:p w14:paraId="2B4FB4D5">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27×（3-1）×11÷250×0.35</w:t>
            </w:r>
          </w:p>
        </w:tc>
        <w:tc>
          <w:tcPr>
            <w:tcW w:w="1108" w:type="dxa"/>
            <w:noWrap/>
            <w:vAlign w:val="center"/>
          </w:tcPr>
          <w:p w14:paraId="139ADFFC">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0.83</w:t>
            </w:r>
          </w:p>
        </w:tc>
      </w:tr>
      <w:tr w14:paraId="6B83C7B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07D9DC99">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153" w:type="dxa"/>
            <w:noWrap/>
            <w:vAlign w:val="center"/>
          </w:tcPr>
          <w:p w14:paraId="453043D2">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工资附加费</w:t>
            </w:r>
          </w:p>
        </w:tc>
        <w:tc>
          <w:tcPr>
            <w:tcW w:w="3998" w:type="dxa"/>
            <w:noWrap/>
            <w:vAlign w:val="center"/>
          </w:tcPr>
          <w:p w14:paraId="58F48D07">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以下七项之和</w:t>
            </w:r>
          </w:p>
        </w:tc>
        <w:tc>
          <w:tcPr>
            <w:tcW w:w="1108" w:type="dxa"/>
            <w:noWrap/>
            <w:vAlign w:val="center"/>
          </w:tcPr>
          <w:p w14:paraId="116E66B4">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22.1</w:t>
            </w:r>
          </w:p>
        </w:tc>
      </w:tr>
      <w:tr w14:paraId="14CC4E3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0D35C5E1">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153" w:type="dxa"/>
            <w:noWrap/>
            <w:vAlign w:val="center"/>
          </w:tcPr>
          <w:p w14:paraId="4555E3E5">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职工福利基金</w:t>
            </w:r>
          </w:p>
        </w:tc>
        <w:tc>
          <w:tcPr>
            <w:tcW w:w="3998" w:type="dxa"/>
            <w:noWrap/>
            <w:vAlign w:val="center"/>
          </w:tcPr>
          <w:p w14:paraId="10CC2499">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（27+8.94）×14%</w:t>
            </w:r>
          </w:p>
        </w:tc>
        <w:tc>
          <w:tcPr>
            <w:tcW w:w="1108" w:type="dxa"/>
            <w:noWrap/>
            <w:vAlign w:val="center"/>
          </w:tcPr>
          <w:p w14:paraId="36C47C53">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5.03</w:t>
            </w:r>
          </w:p>
        </w:tc>
      </w:tr>
      <w:tr w14:paraId="411F93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13930E5A">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153" w:type="dxa"/>
            <w:noWrap/>
            <w:vAlign w:val="center"/>
          </w:tcPr>
          <w:p w14:paraId="5726DE2F">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工会经费</w:t>
            </w:r>
          </w:p>
        </w:tc>
        <w:tc>
          <w:tcPr>
            <w:tcW w:w="3998" w:type="dxa"/>
            <w:noWrap/>
            <w:vAlign w:val="center"/>
          </w:tcPr>
          <w:p w14:paraId="46510B5B">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（27+8.94）×2%</w:t>
            </w:r>
          </w:p>
        </w:tc>
        <w:tc>
          <w:tcPr>
            <w:tcW w:w="1108" w:type="dxa"/>
            <w:noWrap/>
            <w:vAlign w:val="center"/>
          </w:tcPr>
          <w:p w14:paraId="312C1CD5">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0.72</w:t>
            </w:r>
          </w:p>
        </w:tc>
      </w:tr>
      <w:tr w14:paraId="66826F8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686A5BBD">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153" w:type="dxa"/>
            <w:noWrap/>
            <w:vAlign w:val="center"/>
          </w:tcPr>
          <w:p w14:paraId="767E34D1">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养老保险费</w:t>
            </w:r>
          </w:p>
        </w:tc>
        <w:tc>
          <w:tcPr>
            <w:tcW w:w="3998" w:type="dxa"/>
            <w:noWrap/>
            <w:vAlign w:val="center"/>
          </w:tcPr>
          <w:p w14:paraId="0D4B3FBB">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（27+8.94）×30%</w:t>
            </w:r>
          </w:p>
        </w:tc>
        <w:tc>
          <w:tcPr>
            <w:tcW w:w="1108" w:type="dxa"/>
            <w:noWrap/>
            <w:vAlign w:val="center"/>
          </w:tcPr>
          <w:p w14:paraId="753DFD8C">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10.78</w:t>
            </w:r>
          </w:p>
        </w:tc>
      </w:tr>
      <w:tr w14:paraId="345B895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0E32189B">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2153" w:type="dxa"/>
            <w:noWrap/>
            <w:vAlign w:val="center"/>
          </w:tcPr>
          <w:p w14:paraId="03F7690B">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医疗保险费</w:t>
            </w:r>
          </w:p>
        </w:tc>
        <w:tc>
          <w:tcPr>
            <w:tcW w:w="3998" w:type="dxa"/>
            <w:noWrap/>
            <w:vAlign w:val="center"/>
          </w:tcPr>
          <w:p w14:paraId="2607A2D6">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（27+8.94）×4%</w:t>
            </w:r>
          </w:p>
        </w:tc>
        <w:tc>
          <w:tcPr>
            <w:tcW w:w="1108" w:type="dxa"/>
            <w:noWrap/>
            <w:vAlign w:val="center"/>
          </w:tcPr>
          <w:p w14:paraId="48438ABA">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1.44</w:t>
            </w:r>
          </w:p>
        </w:tc>
      </w:tr>
      <w:tr w14:paraId="157D7C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26CD5B69">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2153" w:type="dxa"/>
            <w:noWrap/>
            <w:vAlign w:val="center"/>
          </w:tcPr>
          <w:p w14:paraId="428D536F">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工伤保险费</w:t>
            </w:r>
          </w:p>
        </w:tc>
        <w:tc>
          <w:tcPr>
            <w:tcW w:w="3998" w:type="dxa"/>
            <w:noWrap/>
            <w:vAlign w:val="center"/>
          </w:tcPr>
          <w:p w14:paraId="2F31C43F">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（27+8.94）×1.5%</w:t>
            </w:r>
          </w:p>
        </w:tc>
        <w:tc>
          <w:tcPr>
            <w:tcW w:w="1108" w:type="dxa"/>
            <w:noWrap/>
            <w:vAlign w:val="center"/>
          </w:tcPr>
          <w:p w14:paraId="5038AF44">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0.54</w:t>
            </w:r>
          </w:p>
        </w:tc>
      </w:tr>
      <w:tr w14:paraId="56AD585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1B5D38E5">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（6）</w:t>
            </w:r>
          </w:p>
        </w:tc>
        <w:tc>
          <w:tcPr>
            <w:tcW w:w="2153" w:type="dxa"/>
            <w:noWrap/>
            <w:vAlign w:val="center"/>
          </w:tcPr>
          <w:p w14:paraId="4A8B2C37">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职工失业保险基金</w:t>
            </w:r>
          </w:p>
        </w:tc>
        <w:tc>
          <w:tcPr>
            <w:tcW w:w="3998" w:type="dxa"/>
            <w:noWrap/>
            <w:vAlign w:val="center"/>
          </w:tcPr>
          <w:p w14:paraId="05CF3A3A">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（27+8.94）×2%</w:t>
            </w:r>
          </w:p>
        </w:tc>
        <w:tc>
          <w:tcPr>
            <w:tcW w:w="1108" w:type="dxa"/>
            <w:noWrap/>
            <w:vAlign w:val="center"/>
          </w:tcPr>
          <w:p w14:paraId="31FF9299">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0.72</w:t>
            </w:r>
          </w:p>
        </w:tc>
      </w:tr>
      <w:tr w14:paraId="0DA7E3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71654745">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w:t>
            </w:r>
          </w:p>
        </w:tc>
        <w:tc>
          <w:tcPr>
            <w:tcW w:w="2153" w:type="dxa"/>
            <w:noWrap/>
            <w:vAlign w:val="center"/>
          </w:tcPr>
          <w:p w14:paraId="786AF7C1">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住房公基金</w:t>
            </w:r>
          </w:p>
        </w:tc>
        <w:tc>
          <w:tcPr>
            <w:tcW w:w="3998" w:type="dxa"/>
            <w:noWrap/>
            <w:vAlign w:val="center"/>
          </w:tcPr>
          <w:p w14:paraId="2652658D">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（27+8.94）×8%</w:t>
            </w:r>
          </w:p>
        </w:tc>
        <w:tc>
          <w:tcPr>
            <w:tcW w:w="1108" w:type="dxa"/>
            <w:noWrap/>
            <w:vAlign w:val="center"/>
          </w:tcPr>
          <w:p w14:paraId="7178B199">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2.87</w:t>
            </w:r>
          </w:p>
        </w:tc>
      </w:tr>
      <w:tr w14:paraId="5EA947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37A6720C">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2153" w:type="dxa"/>
            <w:noWrap/>
            <w:vAlign w:val="center"/>
          </w:tcPr>
          <w:p w14:paraId="6FE2E223">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人工工日单价</w:t>
            </w:r>
          </w:p>
        </w:tc>
        <w:tc>
          <w:tcPr>
            <w:tcW w:w="3998" w:type="dxa"/>
            <w:noWrap/>
            <w:vAlign w:val="center"/>
          </w:tcPr>
          <w:p w14:paraId="214BB04B">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基本工资+辅助工资+工资附加费</w:t>
            </w:r>
          </w:p>
        </w:tc>
        <w:tc>
          <w:tcPr>
            <w:tcW w:w="1108" w:type="dxa"/>
            <w:noWrap/>
            <w:vAlign w:val="center"/>
          </w:tcPr>
          <w:p w14:paraId="45D209C6">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58.04</w:t>
            </w:r>
          </w:p>
        </w:tc>
      </w:tr>
    </w:tbl>
    <w:p w14:paraId="3FCB06FA">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表6-3 乙类工日单价计算表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477"/>
        <w:gridCol w:w="2101"/>
        <w:gridCol w:w="4324"/>
        <w:gridCol w:w="1198"/>
      </w:tblGrid>
      <w:tr w14:paraId="115C5A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39574140">
            <w:pPr>
              <w:widowControl/>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序号</w:t>
            </w:r>
          </w:p>
        </w:tc>
        <w:tc>
          <w:tcPr>
            <w:tcW w:w="2101" w:type="dxa"/>
            <w:noWrap/>
            <w:vAlign w:val="center"/>
          </w:tcPr>
          <w:p w14:paraId="0308807E">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项目</w:t>
            </w:r>
          </w:p>
        </w:tc>
        <w:tc>
          <w:tcPr>
            <w:tcW w:w="4324" w:type="dxa"/>
            <w:noWrap/>
            <w:vAlign w:val="center"/>
          </w:tcPr>
          <w:p w14:paraId="146C35A6">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计算式</w:t>
            </w:r>
          </w:p>
        </w:tc>
        <w:tc>
          <w:tcPr>
            <w:tcW w:w="1198" w:type="dxa"/>
            <w:noWrap/>
            <w:vAlign w:val="center"/>
          </w:tcPr>
          <w:p w14:paraId="3266EBFD">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单价（元）</w:t>
            </w:r>
          </w:p>
        </w:tc>
      </w:tr>
      <w:tr w14:paraId="36CC7B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38EA62ED">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101" w:type="dxa"/>
            <w:noWrap/>
            <w:vAlign w:val="center"/>
          </w:tcPr>
          <w:p w14:paraId="65320E98">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基本工资</w:t>
            </w:r>
          </w:p>
        </w:tc>
        <w:tc>
          <w:tcPr>
            <w:tcW w:w="4324" w:type="dxa"/>
            <w:noWrap/>
            <w:vAlign w:val="center"/>
          </w:tcPr>
          <w:p w14:paraId="0DC71246">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445×12÷（250－10）</w:t>
            </w:r>
          </w:p>
        </w:tc>
        <w:tc>
          <w:tcPr>
            <w:tcW w:w="1198" w:type="dxa"/>
            <w:noWrap/>
            <w:vAlign w:val="center"/>
          </w:tcPr>
          <w:p w14:paraId="7E6D4517">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22.25</w:t>
            </w:r>
          </w:p>
        </w:tc>
      </w:tr>
      <w:tr w14:paraId="5C8636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0BB0F445">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101" w:type="dxa"/>
            <w:noWrap/>
            <w:vAlign w:val="center"/>
          </w:tcPr>
          <w:p w14:paraId="168EB86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辅助工资</w:t>
            </w:r>
          </w:p>
        </w:tc>
        <w:tc>
          <w:tcPr>
            <w:tcW w:w="4324" w:type="dxa"/>
            <w:noWrap/>
            <w:vAlign w:val="center"/>
          </w:tcPr>
          <w:p w14:paraId="1E424050">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以下四项之和</w:t>
            </w:r>
          </w:p>
        </w:tc>
        <w:tc>
          <w:tcPr>
            <w:tcW w:w="1198" w:type="dxa"/>
            <w:noWrap/>
            <w:vAlign w:val="center"/>
          </w:tcPr>
          <w:p w14:paraId="1C7AE0D0">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5.63</w:t>
            </w:r>
          </w:p>
        </w:tc>
      </w:tr>
      <w:tr w14:paraId="304DD5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4EAF2646">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101" w:type="dxa"/>
            <w:noWrap/>
            <w:vAlign w:val="center"/>
          </w:tcPr>
          <w:p w14:paraId="6D0B35D5">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地区津贴</w:t>
            </w:r>
          </w:p>
        </w:tc>
        <w:tc>
          <w:tcPr>
            <w:tcW w:w="4324" w:type="dxa"/>
            <w:noWrap/>
            <w:vAlign w:val="center"/>
          </w:tcPr>
          <w:p w14:paraId="02F0053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45×12÷（250-10）</w:t>
            </w:r>
          </w:p>
        </w:tc>
        <w:tc>
          <w:tcPr>
            <w:tcW w:w="1198" w:type="dxa"/>
            <w:noWrap/>
            <w:vAlign w:val="center"/>
          </w:tcPr>
          <w:p w14:paraId="5FF24125">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2.25</w:t>
            </w:r>
          </w:p>
        </w:tc>
      </w:tr>
      <w:tr w14:paraId="506D1A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03C0955A">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101" w:type="dxa"/>
            <w:noWrap/>
            <w:vAlign w:val="center"/>
          </w:tcPr>
          <w:p w14:paraId="10997BCC">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施工津贴</w:t>
            </w:r>
          </w:p>
        </w:tc>
        <w:tc>
          <w:tcPr>
            <w:tcW w:w="4324" w:type="dxa"/>
            <w:noWrap/>
            <w:vAlign w:val="center"/>
          </w:tcPr>
          <w:p w14:paraId="72187AC8">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2.0×365×0.95÷（250-10）</w:t>
            </w:r>
          </w:p>
        </w:tc>
        <w:tc>
          <w:tcPr>
            <w:tcW w:w="1198" w:type="dxa"/>
            <w:noWrap/>
            <w:vAlign w:val="center"/>
          </w:tcPr>
          <w:p w14:paraId="291F801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2.89</w:t>
            </w:r>
          </w:p>
        </w:tc>
      </w:tr>
      <w:tr w14:paraId="491961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627DF9B9">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101" w:type="dxa"/>
            <w:noWrap/>
            <w:vAlign w:val="center"/>
          </w:tcPr>
          <w:p w14:paraId="597244A3">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夜餐津贴</w:t>
            </w:r>
          </w:p>
        </w:tc>
        <w:tc>
          <w:tcPr>
            <w:tcW w:w="4324" w:type="dxa"/>
            <w:noWrap/>
            <w:vAlign w:val="center"/>
          </w:tcPr>
          <w:p w14:paraId="3BC825C3">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（3.5+4.5）÷2×0.05</w:t>
            </w:r>
          </w:p>
        </w:tc>
        <w:tc>
          <w:tcPr>
            <w:tcW w:w="1198" w:type="dxa"/>
            <w:noWrap/>
            <w:vAlign w:val="center"/>
          </w:tcPr>
          <w:p w14:paraId="148437B5">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0.2</w:t>
            </w:r>
          </w:p>
        </w:tc>
      </w:tr>
      <w:tr w14:paraId="1F5E5F8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109BA964">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2101" w:type="dxa"/>
            <w:noWrap/>
            <w:vAlign w:val="center"/>
          </w:tcPr>
          <w:p w14:paraId="5544C9C3">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节日加班津贴</w:t>
            </w:r>
          </w:p>
        </w:tc>
        <w:tc>
          <w:tcPr>
            <w:tcW w:w="4324" w:type="dxa"/>
            <w:noWrap/>
            <w:vAlign w:val="center"/>
          </w:tcPr>
          <w:p w14:paraId="3495FA0D">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22.25×（3-1）×11÷250×0.15</w:t>
            </w:r>
          </w:p>
        </w:tc>
        <w:tc>
          <w:tcPr>
            <w:tcW w:w="1198" w:type="dxa"/>
            <w:noWrap/>
            <w:vAlign w:val="center"/>
          </w:tcPr>
          <w:p w14:paraId="367393BC">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0.29</w:t>
            </w:r>
          </w:p>
        </w:tc>
      </w:tr>
      <w:tr w14:paraId="37EC05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5FD4CE8A">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101" w:type="dxa"/>
            <w:noWrap/>
            <w:vAlign w:val="center"/>
          </w:tcPr>
          <w:p w14:paraId="7879D97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工资附加费</w:t>
            </w:r>
          </w:p>
        </w:tc>
        <w:tc>
          <w:tcPr>
            <w:tcW w:w="4324" w:type="dxa"/>
            <w:noWrap/>
            <w:vAlign w:val="center"/>
          </w:tcPr>
          <w:p w14:paraId="5EAF7323">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以下七项之和</w:t>
            </w:r>
          </w:p>
        </w:tc>
        <w:tc>
          <w:tcPr>
            <w:tcW w:w="1198" w:type="dxa"/>
            <w:noWrap/>
            <w:vAlign w:val="center"/>
          </w:tcPr>
          <w:p w14:paraId="1E0B7FA3">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17.15</w:t>
            </w:r>
          </w:p>
        </w:tc>
      </w:tr>
      <w:tr w14:paraId="584BF9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30938D99">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101" w:type="dxa"/>
            <w:noWrap/>
            <w:vAlign w:val="center"/>
          </w:tcPr>
          <w:p w14:paraId="757F0A93">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职工福利基金</w:t>
            </w:r>
          </w:p>
        </w:tc>
        <w:tc>
          <w:tcPr>
            <w:tcW w:w="4324" w:type="dxa"/>
            <w:noWrap/>
            <w:vAlign w:val="center"/>
          </w:tcPr>
          <w:p w14:paraId="11E109AE">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（22.25+5.63）×14%</w:t>
            </w:r>
          </w:p>
        </w:tc>
        <w:tc>
          <w:tcPr>
            <w:tcW w:w="1198" w:type="dxa"/>
            <w:noWrap/>
            <w:vAlign w:val="center"/>
          </w:tcPr>
          <w:p w14:paraId="2A2F0B7C">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3.9</w:t>
            </w:r>
          </w:p>
        </w:tc>
      </w:tr>
      <w:tr w14:paraId="56EDDDC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3168FC3B">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101" w:type="dxa"/>
            <w:noWrap/>
            <w:vAlign w:val="center"/>
          </w:tcPr>
          <w:p w14:paraId="5A609E2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工会经费</w:t>
            </w:r>
          </w:p>
        </w:tc>
        <w:tc>
          <w:tcPr>
            <w:tcW w:w="4324" w:type="dxa"/>
            <w:noWrap/>
            <w:vAlign w:val="center"/>
          </w:tcPr>
          <w:p w14:paraId="6719D80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（22.25+5.63）×2%</w:t>
            </w:r>
          </w:p>
        </w:tc>
        <w:tc>
          <w:tcPr>
            <w:tcW w:w="1198" w:type="dxa"/>
            <w:noWrap/>
            <w:vAlign w:val="center"/>
          </w:tcPr>
          <w:p w14:paraId="448D8B9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0.56</w:t>
            </w:r>
          </w:p>
        </w:tc>
      </w:tr>
      <w:tr w14:paraId="28A318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jc w:val="center"/>
        </w:trPr>
        <w:tc>
          <w:tcPr>
            <w:tcW w:w="1477" w:type="dxa"/>
            <w:noWrap/>
            <w:vAlign w:val="center"/>
          </w:tcPr>
          <w:p w14:paraId="0CFB0C31">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101" w:type="dxa"/>
            <w:noWrap/>
            <w:vAlign w:val="center"/>
          </w:tcPr>
          <w:p w14:paraId="1EC3BF8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养老保险费</w:t>
            </w:r>
          </w:p>
        </w:tc>
        <w:tc>
          <w:tcPr>
            <w:tcW w:w="4324" w:type="dxa"/>
            <w:noWrap/>
            <w:vAlign w:val="center"/>
          </w:tcPr>
          <w:p w14:paraId="389BA28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（22.25+5.63）×30%</w:t>
            </w:r>
          </w:p>
        </w:tc>
        <w:tc>
          <w:tcPr>
            <w:tcW w:w="1198" w:type="dxa"/>
            <w:noWrap/>
            <w:vAlign w:val="center"/>
          </w:tcPr>
          <w:p w14:paraId="24EEACCC">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8.36</w:t>
            </w:r>
          </w:p>
        </w:tc>
      </w:tr>
      <w:tr w14:paraId="148BC5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jc w:val="center"/>
        </w:trPr>
        <w:tc>
          <w:tcPr>
            <w:tcW w:w="1477" w:type="dxa"/>
            <w:noWrap/>
            <w:vAlign w:val="center"/>
          </w:tcPr>
          <w:p w14:paraId="1E7EE302">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2101" w:type="dxa"/>
            <w:noWrap/>
            <w:vAlign w:val="center"/>
          </w:tcPr>
          <w:p w14:paraId="540A4C4D">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医疗保险费</w:t>
            </w:r>
          </w:p>
        </w:tc>
        <w:tc>
          <w:tcPr>
            <w:tcW w:w="4324" w:type="dxa"/>
            <w:noWrap/>
            <w:vAlign w:val="center"/>
          </w:tcPr>
          <w:p w14:paraId="0E2F109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（22.25+5.63）×4%</w:t>
            </w:r>
          </w:p>
        </w:tc>
        <w:tc>
          <w:tcPr>
            <w:tcW w:w="1198" w:type="dxa"/>
            <w:noWrap/>
            <w:vAlign w:val="center"/>
          </w:tcPr>
          <w:p w14:paraId="298E32A7">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1.12</w:t>
            </w:r>
          </w:p>
        </w:tc>
      </w:tr>
      <w:tr w14:paraId="591A7B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1876E8CA">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2101" w:type="dxa"/>
            <w:noWrap/>
            <w:vAlign w:val="center"/>
          </w:tcPr>
          <w:p w14:paraId="225442C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工伤保险费</w:t>
            </w:r>
          </w:p>
        </w:tc>
        <w:tc>
          <w:tcPr>
            <w:tcW w:w="4324" w:type="dxa"/>
            <w:noWrap/>
            <w:vAlign w:val="center"/>
          </w:tcPr>
          <w:p w14:paraId="1CCA7513">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（22.25+5.63）×1.5%</w:t>
            </w:r>
          </w:p>
        </w:tc>
        <w:tc>
          <w:tcPr>
            <w:tcW w:w="1198" w:type="dxa"/>
            <w:noWrap/>
            <w:vAlign w:val="center"/>
          </w:tcPr>
          <w:p w14:paraId="52E058BB">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0.42</w:t>
            </w:r>
          </w:p>
        </w:tc>
      </w:tr>
      <w:tr w14:paraId="0C66F7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750636DB">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（6）</w:t>
            </w:r>
          </w:p>
        </w:tc>
        <w:tc>
          <w:tcPr>
            <w:tcW w:w="2101" w:type="dxa"/>
            <w:noWrap/>
            <w:vAlign w:val="center"/>
          </w:tcPr>
          <w:p w14:paraId="654EDDB1">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失业保险</w:t>
            </w:r>
          </w:p>
        </w:tc>
        <w:tc>
          <w:tcPr>
            <w:tcW w:w="4324" w:type="dxa"/>
            <w:noWrap/>
            <w:vAlign w:val="center"/>
          </w:tcPr>
          <w:p w14:paraId="7CBB55AD">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（22.25+5.63）×2%</w:t>
            </w:r>
          </w:p>
        </w:tc>
        <w:tc>
          <w:tcPr>
            <w:tcW w:w="1198" w:type="dxa"/>
            <w:noWrap/>
            <w:vAlign w:val="center"/>
          </w:tcPr>
          <w:p w14:paraId="4FB44F4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0.56</w:t>
            </w:r>
          </w:p>
        </w:tc>
      </w:tr>
      <w:tr w14:paraId="6EEA47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19813F91">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w:t>
            </w:r>
          </w:p>
        </w:tc>
        <w:tc>
          <w:tcPr>
            <w:tcW w:w="2101" w:type="dxa"/>
            <w:noWrap/>
            <w:vAlign w:val="center"/>
          </w:tcPr>
          <w:p w14:paraId="2BA589EB">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住房公基金</w:t>
            </w:r>
          </w:p>
        </w:tc>
        <w:tc>
          <w:tcPr>
            <w:tcW w:w="4324" w:type="dxa"/>
            <w:noWrap/>
            <w:vAlign w:val="center"/>
          </w:tcPr>
          <w:p w14:paraId="2B736C36">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（22.25+5.63）×8%</w:t>
            </w:r>
          </w:p>
        </w:tc>
        <w:tc>
          <w:tcPr>
            <w:tcW w:w="1198" w:type="dxa"/>
            <w:noWrap/>
            <w:vAlign w:val="center"/>
          </w:tcPr>
          <w:p w14:paraId="24F430E1">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2.23</w:t>
            </w:r>
          </w:p>
        </w:tc>
      </w:tr>
      <w:tr w14:paraId="71EBB9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3E52C8B5">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2101" w:type="dxa"/>
            <w:noWrap/>
            <w:vAlign w:val="center"/>
          </w:tcPr>
          <w:p w14:paraId="5B9AD09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人工工日单价</w:t>
            </w:r>
          </w:p>
        </w:tc>
        <w:tc>
          <w:tcPr>
            <w:tcW w:w="4324" w:type="dxa"/>
            <w:noWrap/>
            <w:vAlign w:val="center"/>
          </w:tcPr>
          <w:p w14:paraId="3BB298DF">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基本工资+辅助工资+工资附加费</w:t>
            </w:r>
          </w:p>
        </w:tc>
        <w:tc>
          <w:tcPr>
            <w:tcW w:w="1198" w:type="dxa"/>
            <w:noWrap/>
            <w:vAlign w:val="center"/>
          </w:tcPr>
          <w:p w14:paraId="0F8F382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45.03</w:t>
            </w:r>
          </w:p>
        </w:tc>
      </w:tr>
    </w:tbl>
    <w:p w14:paraId="7D9D6229">
      <w:pPr>
        <w:pStyle w:val="178"/>
        <w:topLinePunct/>
        <w:rPr>
          <w:rFonts w:ascii="Times New Roman" w:hAnsi="Times New Roman" w:cs="Times New Roman"/>
          <w:color w:val="000000" w:themeColor="text1"/>
        </w:rPr>
      </w:pPr>
      <w:r>
        <w:rPr>
          <w:rFonts w:ascii="Times New Roman" w:hAnsi="Times New Roman" w:cs="Times New Roman"/>
          <w:color w:val="000000" w:themeColor="text1"/>
        </w:rPr>
        <w:t>2）机械使用费</w:t>
      </w:r>
    </w:p>
    <w:p w14:paraId="184CA024">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根据主体工程机械使用费并参照《土地开发整理项目预算定额标准》的施工机械的台班定额计算。施工机械使用费中耗用油料的费用，限价以内作为台班费定额，超出限价部分在单价分析表内列入材料价差部分。</w:t>
      </w:r>
    </w:p>
    <w:p w14:paraId="5C6F76AD">
      <w:pPr>
        <w:pStyle w:val="178"/>
        <w:topLinePunct/>
        <w:rPr>
          <w:rFonts w:ascii="Times New Roman" w:hAnsi="Times New Roman" w:cs="Times New Roman"/>
          <w:color w:val="000000" w:themeColor="text1"/>
        </w:rPr>
      </w:pPr>
      <w:r>
        <w:rPr>
          <w:rFonts w:ascii="Times New Roman" w:hAnsi="Times New Roman" w:cs="Times New Roman"/>
          <w:color w:val="000000" w:themeColor="text1"/>
        </w:rPr>
        <w:t>3）主要材料费</w:t>
      </w:r>
    </w:p>
    <w:p w14:paraId="2F5A43D8">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根据《黑龙江省土地开发整理项目预算定额标准》，本项目涉及的主要材料限价为柴油，限价4500 元/t；树苗，限价5 元/株；块石，限价60元/</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 xml:space="preserve">。方案的柴油预算价格（不含税）为7750元/t，落叶松7元/株，块石97.86元/ </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。当材料预算价格大于“主材限定价格”时，材料价差＝材料预算价格-主材限价，因此，柴油材料价差3250元/t，落叶松材料价差2元。</w:t>
      </w:r>
    </w:p>
    <w:p w14:paraId="2BC0EF20">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 6-4 主要材料预算价格计算表</w:t>
      </w:r>
    </w:p>
    <w:tbl>
      <w:tblPr>
        <w:tblStyle w:val="42"/>
        <w:tblW w:w="5016"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421"/>
        <w:gridCol w:w="1150"/>
        <w:gridCol w:w="465"/>
        <w:gridCol w:w="776"/>
        <w:gridCol w:w="621"/>
        <w:gridCol w:w="637"/>
        <w:gridCol w:w="912"/>
        <w:gridCol w:w="757"/>
        <w:gridCol w:w="910"/>
        <w:gridCol w:w="910"/>
        <w:gridCol w:w="700"/>
        <w:gridCol w:w="870"/>
      </w:tblGrid>
      <w:tr w14:paraId="1ECCAA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Merge w:val="restart"/>
            <w:vAlign w:val="center"/>
          </w:tcPr>
          <w:p w14:paraId="4E5C263B">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编号</w:t>
            </w:r>
          </w:p>
        </w:tc>
        <w:tc>
          <w:tcPr>
            <w:tcW w:w="1146" w:type="dxa"/>
            <w:vMerge w:val="restart"/>
            <w:vAlign w:val="center"/>
          </w:tcPr>
          <w:p w14:paraId="6321A88D">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名称及规格</w:t>
            </w:r>
          </w:p>
        </w:tc>
        <w:tc>
          <w:tcPr>
            <w:tcW w:w="464" w:type="dxa"/>
            <w:vMerge w:val="restart"/>
            <w:vAlign w:val="center"/>
          </w:tcPr>
          <w:p w14:paraId="3B1F7B15">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单位</w:t>
            </w:r>
          </w:p>
        </w:tc>
        <w:tc>
          <w:tcPr>
            <w:tcW w:w="774" w:type="dxa"/>
            <w:vMerge w:val="restart"/>
            <w:vAlign w:val="center"/>
          </w:tcPr>
          <w:p w14:paraId="49079BC2">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原价根据</w:t>
            </w:r>
          </w:p>
        </w:tc>
        <w:tc>
          <w:tcPr>
            <w:tcW w:w="619" w:type="dxa"/>
            <w:vMerge w:val="restart"/>
            <w:vAlign w:val="center"/>
          </w:tcPr>
          <w:p w14:paraId="354C7E19">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单位毛量</w:t>
            </w:r>
          </w:p>
        </w:tc>
        <w:tc>
          <w:tcPr>
            <w:tcW w:w="635" w:type="dxa"/>
            <w:vMerge w:val="restart"/>
            <w:vAlign w:val="center"/>
          </w:tcPr>
          <w:p w14:paraId="42AE97E5">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每吨运费</w:t>
            </w:r>
          </w:p>
        </w:tc>
        <w:tc>
          <w:tcPr>
            <w:tcW w:w="5043" w:type="dxa"/>
            <w:gridSpan w:val="6"/>
            <w:vAlign w:val="center"/>
          </w:tcPr>
          <w:p w14:paraId="570E752C">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价格（元）</w:t>
            </w:r>
          </w:p>
        </w:tc>
      </w:tr>
      <w:tr w14:paraId="79CE8E4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Merge w:val="continue"/>
            <w:vAlign w:val="center"/>
          </w:tcPr>
          <w:p w14:paraId="31535910">
            <w:pPr>
              <w:adjustRightInd w:val="0"/>
              <w:snapToGrid w:val="0"/>
              <w:spacing w:line="240" w:lineRule="auto"/>
              <w:jc w:val="center"/>
              <w:rPr>
                <w:rFonts w:ascii="Times New Roman" w:hAnsi="Times New Roman" w:cs="Times New Roman"/>
                <w:b/>
                <w:color w:val="000000" w:themeColor="text1"/>
                <w:kern w:val="0"/>
                <w:sz w:val="24"/>
                <w:szCs w:val="24"/>
              </w:rPr>
            </w:pPr>
          </w:p>
        </w:tc>
        <w:tc>
          <w:tcPr>
            <w:tcW w:w="1146" w:type="dxa"/>
            <w:vMerge w:val="continue"/>
            <w:vAlign w:val="center"/>
          </w:tcPr>
          <w:p w14:paraId="3C1B9575">
            <w:pPr>
              <w:adjustRightInd w:val="0"/>
              <w:snapToGrid w:val="0"/>
              <w:spacing w:line="240" w:lineRule="auto"/>
              <w:jc w:val="center"/>
              <w:rPr>
                <w:rFonts w:ascii="Times New Roman" w:hAnsi="Times New Roman" w:cs="Times New Roman"/>
                <w:b/>
                <w:color w:val="000000" w:themeColor="text1"/>
                <w:kern w:val="0"/>
                <w:sz w:val="24"/>
                <w:szCs w:val="24"/>
              </w:rPr>
            </w:pPr>
          </w:p>
        </w:tc>
        <w:tc>
          <w:tcPr>
            <w:tcW w:w="464" w:type="dxa"/>
            <w:vMerge w:val="continue"/>
            <w:vAlign w:val="center"/>
          </w:tcPr>
          <w:p w14:paraId="616470DB">
            <w:pPr>
              <w:adjustRightInd w:val="0"/>
              <w:snapToGrid w:val="0"/>
              <w:spacing w:line="240" w:lineRule="auto"/>
              <w:jc w:val="center"/>
              <w:rPr>
                <w:rFonts w:ascii="Times New Roman" w:hAnsi="Times New Roman" w:cs="Times New Roman"/>
                <w:b/>
                <w:color w:val="000000" w:themeColor="text1"/>
                <w:kern w:val="0"/>
                <w:sz w:val="24"/>
                <w:szCs w:val="24"/>
              </w:rPr>
            </w:pPr>
          </w:p>
        </w:tc>
        <w:tc>
          <w:tcPr>
            <w:tcW w:w="774" w:type="dxa"/>
            <w:vMerge w:val="continue"/>
            <w:vAlign w:val="center"/>
          </w:tcPr>
          <w:p w14:paraId="379CCB5C">
            <w:pPr>
              <w:adjustRightInd w:val="0"/>
              <w:snapToGrid w:val="0"/>
              <w:spacing w:line="240" w:lineRule="auto"/>
              <w:jc w:val="center"/>
              <w:rPr>
                <w:rFonts w:ascii="Times New Roman" w:hAnsi="Times New Roman" w:cs="Times New Roman"/>
                <w:b/>
                <w:color w:val="000000" w:themeColor="text1"/>
                <w:kern w:val="0"/>
                <w:sz w:val="24"/>
                <w:szCs w:val="24"/>
              </w:rPr>
            </w:pPr>
          </w:p>
        </w:tc>
        <w:tc>
          <w:tcPr>
            <w:tcW w:w="619" w:type="dxa"/>
            <w:vMerge w:val="continue"/>
            <w:vAlign w:val="center"/>
          </w:tcPr>
          <w:p w14:paraId="1D2E10A6">
            <w:pPr>
              <w:adjustRightInd w:val="0"/>
              <w:snapToGrid w:val="0"/>
              <w:spacing w:line="240" w:lineRule="auto"/>
              <w:jc w:val="center"/>
              <w:rPr>
                <w:rFonts w:ascii="Times New Roman" w:hAnsi="Times New Roman" w:cs="Times New Roman"/>
                <w:b/>
                <w:color w:val="000000" w:themeColor="text1"/>
                <w:kern w:val="0"/>
                <w:sz w:val="24"/>
                <w:szCs w:val="24"/>
              </w:rPr>
            </w:pPr>
          </w:p>
        </w:tc>
        <w:tc>
          <w:tcPr>
            <w:tcW w:w="635" w:type="dxa"/>
            <w:vMerge w:val="continue"/>
            <w:vAlign w:val="center"/>
          </w:tcPr>
          <w:p w14:paraId="606EC7AB">
            <w:pPr>
              <w:adjustRightInd w:val="0"/>
              <w:snapToGrid w:val="0"/>
              <w:spacing w:line="240" w:lineRule="auto"/>
              <w:jc w:val="center"/>
              <w:rPr>
                <w:rFonts w:ascii="Times New Roman" w:hAnsi="Times New Roman" w:cs="Times New Roman"/>
                <w:b/>
                <w:color w:val="000000" w:themeColor="text1"/>
                <w:kern w:val="0"/>
                <w:sz w:val="24"/>
                <w:szCs w:val="24"/>
              </w:rPr>
            </w:pPr>
          </w:p>
        </w:tc>
        <w:tc>
          <w:tcPr>
            <w:tcW w:w="909" w:type="dxa"/>
            <w:vAlign w:val="center"/>
          </w:tcPr>
          <w:p w14:paraId="0417009D">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原价</w:t>
            </w:r>
          </w:p>
        </w:tc>
        <w:tc>
          <w:tcPr>
            <w:tcW w:w="755" w:type="dxa"/>
            <w:vAlign w:val="center"/>
          </w:tcPr>
          <w:p w14:paraId="61A61F7F">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运杂费</w:t>
            </w:r>
          </w:p>
        </w:tc>
        <w:tc>
          <w:tcPr>
            <w:tcW w:w="907" w:type="dxa"/>
            <w:vAlign w:val="center"/>
          </w:tcPr>
          <w:p w14:paraId="4247CA7E">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采购及保管费</w:t>
            </w:r>
          </w:p>
        </w:tc>
        <w:tc>
          <w:tcPr>
            <w:tcW w:w="907" w:type="dxa"/>
            <w:vAlign w:val="center"/>
          </w:tcPr>
          <w:p w14:paraId="36D800AB">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运到工地仓库价格</w:t>
            </w:r>
          </w:p>
        </w:tc>
        <w:tc>
          <w:tcPr>
            <w:tcW w:w="698" w:type="dxa"/>
            <w:vAlign w:val="center"/>
          </w:tcPr>
          <w:p w14:paraId="59DD4112">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保险费</w:t>
            </w:r>
          </w:p>
        </w:tc>
        <w:tc>
          <w:tcPr>
            <w:tcW w:w="867" w:type="dxa"/>
            <w:vAlign w:val="center"/>
          </w:tcPr>
          <w:p w14:paraId="1834736A">
            <w:pPr>
              <w:adjustRightInd w:val="0"/>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预算价格</w:t>
            </w:r>
          </w:p>
        </w:tc>
      </w:tr>
      <w:tr w14:paraId="139C5E9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0B3528A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146" w:type="dxa"/>
            <w:vAlign w:val="center"/>
          </w:tcPr>
          <w:p w14:paraId="655B300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柴油（0#）</w:t>
            </w:r>
          </w:p>
        </w:tc>
        <w:tc>
          <w:tcPr>
            <w:tcW w:w="464" w:type="dxa"/>
            <w:vAlign w:val="center"/>
          </w:tcPr>
          <w:p w14:paraId="4518D1B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t</w:t>
            </w:r>
          </w:p>
        </w:tc>
        <w:tc>
          <w:tcPr>
            <w:tcW w:w="774" w:type="dxa"/>
            <w:vAlign w:val="center"/>
          </w:tcPr>
          <w:p w14:paraId="036E5A73">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619" w:type="dxa"/>
            <w:vAlign w:val="center"/>
          </w:tcPr>
          <w:p w14:paraId="7AF8F5D6">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w:t>
            </w:r>
          </w:p>
        </w:tc>
        <w:tc>
          <w:tcPr>
            <w:tcW w:w="635" w:type="dxa"/>
            <w:vAlign w:val="center"/>
          </w:tcPr>
          <w:p w14:paraId="0AE9AF6F">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4.81</w:t>
            </w:r>
          </w:p>
        </w:tc>
        <w:tc>
          <w:tcPr>
            <w:tcW w:w="909" w:type="dxa"/>
            <w:vAlign w:val="center"/>
          </w:tcPr>
          <w:p w14:paraId="38175853">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7557.02</w:t>
            </w:r>
          </w:p>
        </w:tc>
        <w:tc>
          <w:tcPr>
            <w:tcW w:w="755" w:type="dxa"/>
            <w:vAlign w:val="center"/>
          </w:tcPr>
          <w:p w14:paraId="092ECAED">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4.81</w:t>
            </w:r>
          </w:p>
        </w:tc>
        <w:tc>
          <w:tcPr>
            <w:tcW w:w="907" w:type="dxa"/>
            <w:vAlign w:val="center"/>
          </w:tcPr>
          <w:p w14:paraId="02093C61">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171.07</w:t>
            </w:r>
          </w:p>
        </w:tc>
        <w:tc>
          <w:tcPr>
            <w:tcW w:w="907" w:type="dxa"/>
            <w:vAlign w:val="center"/>
          </w:tcPr>
          <w:p w14:paraId="02DACE0F">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7561.83</w:t>
            </w:r>
          </w:p>
        </w:tc>
        <w:tc>
          <w:tcPr>
            <w:tcW w:w="698" w:type="dxa"/>
            <w:vAlign w:val="center"/>
          </w:tcPr>
          <w:p w14:paraId="782C2268">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17.10</w:t>
            </w:r>
          </w:p>
        </w:tc>
        <w:tc>
          <w:tcPr>
            <w:tcW w:w="867" w:type="dxa"/>
            <w:vAlign w:val="center"/>
          </w:tcPr>
          <w:p w14:paraId="5848792E">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7750.00</w:t>
            </w:r>
          </w:p>
        </w:tc>
      </w:tr>
      <w:tr w14:paraId="50A449E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202953AD">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146" w:type="dxa"/>
            <w:vAlign w:val="center"/>
          </w:tcPr>
          <w:p w14:paraId="0DF223C6">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高羊茅草籽</w:t>
            </w:r>
          </w:p>
        </w:tc>
        <w:tc>
          <w:tcPr>
            <w:tcW w:w="464" w:type="dxa"/>
            <w:vAlign w:val="center"/>
          </w:tcPr>
          <w:p w14:paraId="06B9118D">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kg</w:t>
            </w:r>
          </w:p>
        </w:tc>
        <w:tc>
          <w:tcPr>
            <w:tcW w:w="774" w:type="dxa"/>
            <w:vAlign w:val="center"/>
          </w:tcPr>
          <w:p w14:paraId="08EA2B5F">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619" w:type="dxa"/>
            <w:vAlign w:val="center"/>
          </w:tcPr>
          <w:p w14:paraId="2F2F90D4">
            <w:pPr>
              <w:adjustRightInd w:val="0"/>
              <w:snapToGrid w:val="0"/>
              <w:spacing w:line="240" w:lineRule="auto"/>
              <w:jc w:val="center"/>
              <w:rPr>
                <w:rFonts w:ascii="Times New Roman" w:hAnsi="Times New Roman" w:cs="Times New Roman"/>
                <w:color w:val="000000" w:themeColor="text1"/>
                <w:kern w:val="0"/>
                <w:sz w:val="24"/>
                <w:szCs w:val="24"/>
              </w:rPr>
            </w:pPr>
          </w:p>
        </w:tc>
        <w:tc>
          <w:tcPr>
            <w:tcW w:w="635" w:type="dxa"/>
            <w:vAlign w:val="center"/>
          </w:tcPr>
          <w:p w14:paraId="74B4538D">
            <w:pPr>
              <w:adjustRightInd w:val="0"/>
              <w:snapToGrid w:val="0"/>
              <w:spacing w:line="240" w:lineRule="auto"/>
              <w:jc w:val="center"/>
              <w:rPr>
                <w:rFonts w:ascii="Times New Roman" w:hAnsi="Times New Roman" w:cs="Times New Roman"/>
                <w:color w:val="000000" w:themeColor="text1"/>
                <w:kern w:val="0"/>
                <w:sz w:val="24"/>
                <w:szCs w:val="24"/>
              </w:rPr>
            </w:pPr>
          </w:p>
        </w:tc>
        <w:tc>
          <w:tcPr>
            <w:tcW w:w="909" w:type="dxa"/>
            <w:vAlign w:val="center"/>
          </w:tcPr>
          <w:p w14:paraId="67BC4B24">
            <w:pPr>
              <w:adjustRightInd w:val="0"/>
              <w:snapToGrid w:val="0"/>
              <w:spacing w:line="240" w:lineRule="auto"/>
              <w:jc w:val="center"/>
              <w:rPr>
                <w:rFonts w:ascii="Times New Roman" w:hAnsi="Times New Roman" w:cs="Times New Roman"/>
                <w:color w:val="000000" w:themeColor="text1"/>
                <w:kern w:val="0"/>
                <w:sz w:val="24"/>
                <w:szCs w:val="24"/>
              </w:rPr>
            </w:pPr>
          </w:p>
        </w:tc>
        <w:tc>
          <w:tcPr>
            <w:tcW w:w="755" w:type="dxa"/>
            <w:vAlign w:val="center"/>
          </w:tcPr>
          <w:p w14:paraId="2B9C8800">
            <w:pPr>
              <w:adjustRightInd w:val="0"/>
              <w:snapToGrid w:val="0"/>
              <w:spacing w:line="240" w:lineRule="auto"/>
              <w:jc w:val="center"/>
              <w:rPr>
                <w:rFonts w:ascii="Times New Roman" w:hAnsi="Times New Roman" w:cs="Times New Roman"/>
                <w:color w:val="000000" w:themeColor="text1"/>
                <w:kern w:val="0"/>
                <w:sz w:val="24"/>
                <w:szCs w:val="24"/>
              </w:rPr>
            </w:pPr>
          </w:p>
        </w:tc>
        <w:tc>
          <w:tcPr>
            <w:tcW w:w="907" w:type="dxa"/>
            <w:vAlign w:val="center"/>
          </w:tcPr>
          <w:p w14:paraId="7F365A46">
            <w:pPr>
              <w:adjustRightInd w:val="0"/>
              <w:snapToGrid w:val="0"/>
              <w:spacing w:line="240" w:lineRule="auto"/>
              <w:jc w:val="center"/>
              <w:rPr>
                <w:rFonts w:ascii="Times New Roman" w:hAnsi="Times New Roman" w:cs="Times New Roman"/>
                <w:color w:val="000000" w:themeColor="text1"/>
                <w:kern w:val="0"/>
                <w:sz w:val="24"/>
                <w:szCs w:val="24"/>
              </w:rPr>
            </w:pPr>
          </w:p>
        </w:tc>
        <w:tc>
          <w:tcPr>
            <w:tcW w:w="907" w:type="dxa"/>
            <w:vAlign w:val="center"/>
          </w:tcPr>
          <w:p w14:paraId="2668370D">
            <w:pPr>
              <w:adjustRightInd w:val="0"/>
              <w:snapToGrid w:val="0"/>
              <w:spacing w:line="240" w:lineRule="auto"/>
              <w:jc w:val="center"/>
              <w:rPr>
                <w:rFonts w:ascii="Times New Roman" w:hAnsi="Times New Roman" w:cs="Times New Roman"/>
                <w:color w:val="000000" w:themeColor="text1"/>
                <w:kern w:val="0"/>
                <w:sz w:val="24"/>
                <w:szCs w:val="24"/>
              </w:rPr>
            </w:pPr>
          </w:p>
        </w:tc>
        <w:tc>
          <w:tcPr>
            <w:tcW w:w="698" w:type="dxa"/>
            <w:vAlign w:val="center"/>
          </w:tcPr>
          <w:p w14:paraId="76850204">
            <w:pPr>
              <w:adjustRightInd w:val="0"/>
              <w:snapToGrid w:val="0"/>
              <w:spacing w:line="240" w:lineRule="auto"/>
              <w:jc w:val="center"/>
              <w:rPr>
                <w:rFonts w:ascii="Times New Roman" w:hAnsi="Times New Roman" w:cs="Times New Roman"/>
                <w:color w:val="000000" w:themeColor="text1"/>
                <w:kern w:val="0"/>
                <w:sz w:val="24"/>
                <w:szCs w:val="24"/>
              </w:rPr>
            </w:pPr>
          </w:p>
        </w:tc>
        <w:tc>
          <w:tcPr>
            <w:tcW w:w="867" w:type="dxa"/>
            <w:vAlign w:val="center"/>
          </w:tcPr>
          <w:p w14:paraId="1A06DD8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33.80 </w:t>
            </w:r>
          </w:p>
        </w:tc>
      </w:tr>
      <w:tr w14:paraId="598E4B0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513125E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1146" w:type="dxa"/>
            <w:vAlign w:val="center"/>
          </w:tcPr>
          <w:p w14:paraId="790F8625">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落叶松</w:t>
            </w:r>
          </w:p>
        </w:tc>
        <w:tc>
          <w:tcPr>
            <w:tcW w:w="464" w:type="dxa"/>
            <w:vAlign w:val="center"/>
          </w:tcPr>
          <w:p w14:paraId="579DDE65">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株</w:t>
            </w:r>
          </w:p>
        </w:tc>
        <w:tc>
          <w:tcPr>
            <w:tcW w:w="774" w:type="dxa"/>
            <w:vAlign w:val="center"/>
          </w:tcPr>
          <w:p w14:paraId="12252DB1">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619" w:type="dxa"/>
            <w:vAlign w:val="center"/>
          </w:tcPr>
          <w:p w14:paraId="3D2D7C44">
            <w:pPr>
              <w:adjustRightInd w:val="0"/>
              <w:snapToGrid w:val="0"/>
              <w:spacing w:line="240" w:lineRule="auto"/>
              <w:jc w:val="center"/>
              <w:rPr>
                <w:rFonts w:ascii="Times New Roman" w:hAnsi="Times New Roman" w:cs="Times New Roman"/>
                <w:color w:val="000000" w:themeColor="text1"/>
                <w:kern w:val="0"/>
                <w:sz w:val="24"/>
                <w:szCs w:val="24"/>
              </w:rPr>
            </w:pPr>
          </w:p>
        </w:tc>
        <w:tc>
          <w:tcPr>
            <w:tcW w:w="635" w:type="dxa"/>
            <w:vAlign w:val="center"/>
          </w:tcPr>
          <w:p w14:paraId="3A70C813">
            <w:pPr>
              <w:adjustRightInd w:val="0"/>
              <w:snapToGrid w:val="0"/>
              <w:spacing w:line="240" w:lineRule="auto"/>
              <w:jc w:val="center"/>
              <w:rPr>
                <w:rFonts w:ascii="Times New Roman" w:hAnsi="Times New Roman" w:cs="Times New Roman"/>
                <w:color w:val="000000" w:themeColor="text1"/>
                <w:kern w:val="0"/>
                <w:sz w:val="24"/>
                <w:szCs w:val="24"/>
              </w:rPr>
            </w:pPr>
          </w:p>
        </w:tc>
        <w:tc>
          <w:tcPr>
            <w:tcW w:w="909" w:type="dxa"/>
            <w:vAlign w:val="center"/>
          </w:tcPr>
          <w:p w14:paraId="40FAF27E">
            <w:pPr>
              <w:adjustRightInd w:val="0"/>
              <w:snapToGrid w:val="0"/>
              <w:spacing w:line="240" w:lineRule="auto"/>
              <w:jc w:val="center"/>
              <w:rPr>
                <w:rFonts w:ascii="Times New Roman" w:hAnsi="Times New Roman" w:cs="Times New Roman"/>
                <w:color w:val="000000" w:themeColor="text1"/>
                <w:kern w:val="0"/>
                <w:sz w:val="24"/>
                <w:szCs w:val="24"/>
              </w:rPr>
            </w:pPr>
          </w:p>
        </w:tc>
        <w:tc>
          <w:tcPr>
            <w:tcW w:w="755" w:type="dxa"/>
            <w:vAlign w:val="center"/>
          </w:tcPr>
          <w:p w14:paraId="69A8D67A">
            <w:pPr>
              <w:adjustRightInd w:val="0"/>
              <w:snapToGrid w:val="0"/>
              <w:spacing w:line="240" w:lineRule="auto"/>
              <w:jc w:val="center"/>
              <w:rPr>
                <w:rFonts w:ascii="Times New Roman" w:hAnsi="Times New Roman" w:cs="Times New Roman"/>
                <w:color w:val="000000" w:themeColor="text1"/>
                <w:kern w:val="0"/>
                <w:sz w:val="24"/>
                <w:szCs w:val="24"/>
              </w:rPr>
            </w:pPr>
          </w:p>
        </w:tc>
        <w:tc>
          <w:tcPr>
            <w:tcW w:w="907" w:type="dxa"/>
            <w:vAlign w:val="center"/>
          </w:tcPr>
          <w:p w14:paraId="188F07DD">
            <w:pPr>
              <w:adjustRightInd w:val="0"/>
              <w:snapToGrid w:val="0"/>
              <w:spacing w:line="240" w:lineRule="auto"/>
              <w:jc w:val="center"/>
              <w:rPr>
                <w:rFonts w:ascii="Times New Roman" w:hAnsi="Times New Roman" w:cs="Times New Roman"/>
                <w:color w:val="000000" w:themeColor="text1"/>
                <w:kern w:val="0"/>
                <w:sz w:val="24"/>
                <w:szCs w:val="24"/>
              </w:rPr>
            </w:pPr>
          </w:p>
        </w:tc>
        <w:tc>
          <w:tcPr>
            <w:tcW w:w="907" w:type="dxa"/>
            <w:vAlign w:val="center"/>
          </w:tcPr>
          <w:p w14:paraId="3BEC3651">
            <w:pPr>
              <w:adjustRightInd w:val="0"/>
              <w:snapToGrid w:val="0"/>
              <w:spacing w:line="240" w:lineRule="auto"/>
              <w:jc w:val="center"/>
              <w:rPr>
                <w:rFonts w:ascii="Times New Roman" w:hAnsi="Times New Roman" w:cs="Times New Roman"/>
                <w:color w:val="000000" w:themeColor="text1"/>
                <w:kern w:val="0"/>
                <w:sz w:val="24"/>
                <w:szCs w:val="24"/>
              </w:rPr>
            </w:pPr>
          </w:p>
        </w:tc>
        <w:tc>
          <w:tcPr>
            <w:tcW w:w="698" w:type="dxa"/>
            <w:vAlign w:val="center"/>
          </w:tcPr>
          <w:p w14:paraId="1D3A4F07">
            <w:pPr>
              <w:adjustRightInd w:val="0"/>
              <w:snapToGrid w:val="0"/>
              <w:spacing w:line="240" w:lineRule="auto"/>
              <w:jc w:val="center"/>
              <w:rPr>
                <w:rFonts w:ascii="Times New Roman" w:hAnsi="Times New Roman" w:cs="Times New Roman"/>
                <w:color w:val="000000" w:themeColor="text1"/>
                <w:kern w:val="0"/>
                <w:sz w:val="24"/>
                <w:szCs w:val="24"/>
              </w:rPr>
            </w:pPr>
          </w:p>
        </w:tc>
        <w:tc>
          <w:tcPr>
            <w:tcW w:w="867" w:type="dxa"/>
            <w:vAlign w:val="center"/>
          </w:tcPr>
          <w:p w14:paraId="6B00B8B2">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7.00</w:t>
            </w:r>
          </w:p>
        </w:tc>
      </w:tr>
      <w:tr w14:paraId="4424BC6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458378FD">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146" w:type="dxa"/>
            <w:vAlign w:val="center"/>
          </w:tcPr>
          <w:p w14:paraId="59049CAB">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常春藤</w:t>
            </w:r>
          </w:p>
        </w:tc>
        <w:tc>
          <w:tcPr>
            <w:tcW w:w="464" w:type="dxa"/>
            <w:vAlign w:val="center"/>
          </w:tcPr>
          <w:p w14:paraId="1A494BA3">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株</w:t>
            </w:r>
          </w:p>
        </w:tc>
        <w:tc>
          <w:tcPr>
            <w:tcW w:w="774" w:type="dxa"/>
            <w:vAlign w:val="center"/>
          </w:tcPr>
          <w:p w14:paraId="213CB4C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619" w:type="dxa"/>
            <w:vAlign w:val="center"/>
          </w:tcPr>
          <w:p w14:paraId="4441F632">
            <w:pPr>
              <w:adjustRightInd w:val="0"/>
              <w:snapToGrid w:val="0"/>
              <w:spacing w:line="240" w:lineRule="auto"/>
              <w:jc w:val="center"/>
              <w:rPr>
                <w:rFonts w:ascii="Times New Roman" w:hAnsi="Times New Roman" w:cs="Times New Roman"/>
                <w:color w:val="000000" w:themeColor="text1"/>
                <w:kern w:val="0"/>
                <w:sz w:val="24"/>
                <w:szCs w:val="24"/>
              </w:rPr>
            </w:pPr>
          </w:p>
        </w:tc>
        <w:tc>
          <w:tcPr>
            <w:tcW w:w="635" w:type="dxa"/>
            <w:vAlign w:val="center"/>
          </w:tcPr>
          <w:p w14:paraId="5CE666D9">
            <w:pPr>
              <w:adjustRightInd w:val="0"/>
              <w:snapToGrid w:val="0"/>
              <w:spacing w:line="240" w:lineRule="auto"/>
              <w:jc w:val="center"/>
              <w:rPr>
                <w:rFonts w:ascii="Times New Roman" w:hAnsi="Times New Roman" w:cs="Times New Roman"/>
                <w:color w:val="000000" w:themeColor="text1"/>
                <w:kern w:val="0"/>
                <w:sz w:val="24"/>
                <w:szCs w:val="24"/>
              </w:rPr>
            </w:pPr>
          </w:p>
        </w:tc>
        <w:tc>
          <w:tcPr>
            <w:tcW w:w="909" w:type="dxa"/>
            <w:vAlign w:val="center"/>
          </w:tcPr>
          <w:p w14:paraId="595CE157">
            <w:pPr>
              <w:adjustRightInd w:val="0"/>
              <w:snapToGrid w:val="0"/>
              <w:spacing w:line="240" w:lineRule="auto"/>
              <w:jc w:val="center"/>
              <w:rPr>
                <w:rFonts w:ascii="Times New Roman" w:hAnsi="Times New Roman" w:cs="Times New Roman"/>
                <w:color w:val="000000" w:themeColor="text1"/>
                <w:kern w:val="0"/>
                <w:sz w:val="24"/>
                <w:szCs w:val="24"/>
              </w:rPr>
            </w:pPr>
          </w:p>
        </w:tc>
        <w:tc>
          <w:tcPr>
            <w:tcW w:w="755" w:type="dxa"/>
            <w:vAlign w:val="center"/>
          </w:tcPr>
          <w:p w14:paraId="7F7DDD72">
            <w:pPr>
              <w:adjustRightInd w:val="0"/>
              <w:snapToGrid w:val="0"/>
              <w:spacing w:line="240" w:lineRule="auto"/>
              <w:jc w:val="center"/>
              <w:rPr>
                <w:rFonts w:ascii="Times New Roman" w:hAnsi="Times New Roman" w:cs="Times New Roman"/>
                <w:color w:val="000000" w:themeColor="text1"/>
                <w:kern w:val="0"/>
                <w:sz w:val="24"/>
                <w:szCs w:val="24"/>
              </w:rPr>
            </w:pPr>
          </w:p>
        </w:tc>
        <w:tc>
          <w:tcPr>
            <w:tcW w:w="907" w:type="dxa"/>
            <w:vAlign w:val="center"/>
          </w:tcPr>
          <w:p w14:paraId="05394414">
            <w:pPr>
              <w:adjustRightInd w:val="0"/>
              <w:snapToGrid w:val="0"/>
              <w:spacing w:line="240" w:lineRule="auto"/>
              <w:jc w:val="center"/>
              <w:rPr>
                <w:rFonts w:ascii="Times New Roman" w:hAnsi="Times New Roman" w:cs="Times New Roman"/>
                <w:color w:val="000000" w:themeColor="text1"/>
                <w:kern w:val="0"/>
                <w:sz w:val="24"/>
                <w:szCs w:val="24"/>
              </w:rPr>
            </w:pPr>
          </w:p>
        </w:tc>
        <w:tc>
          <w:tcPr>
            <w:tcW w:w="907" w:type="dxa"/>
            <w:vAlign w:val="center"/>
          </w:tcPr>
          <w:p w14:paraId="138DBB31">
            <w:pPr>
              <w:adjustRightInd w:val="0"/>
              <w:snapToGrid w:val="0"/>
              <w:spacing w:line="240" w:lineRule="auto"/>
              <w:jc w:val="center"/>
              <w:rPr>
                <w:rFonts w:ascii="Times New Roman" w:hAnsi="Times New Roman" w:cs="Times New Roman"/>
                <w:color w:val="000000" w:themeColor="text1"/>
                <w:kern w:val="0"/>
                <w:sz w:val="24"/>
                <w:szCs w:val="24"/>
              </w:rPr>
            </w:pPr>
          </w:p>
        </w:tc>
        <w:tc>
          <w:tcPr>
            <w:tcW w:w="698" w:type="dxa"/>
            <w:vAlign w:val="center"/>
          </w:tcPr>
          <w:p w14:paraId="6DFE1287">
            <w:pPr>
              <w:adjustRightInd w:val="0"/>
              <w:snapToGrid w:val="0"/>
              <w:spacing w:line="240" w:lineRule="auto"/>
              <w:jc w:val="center"/>
              <w:rPr>
                <w:rFonts w:ascii="Times New Roman" w:hAnsi="Times New Roman" w:cs="Times New Roman"/>
                <w:color w:val="000000" w:themeColor="text1"/>
                <w:kern w:val="0"/>
                <w:sz w:val="24"/>
                <w:szCs w:val="24"/>
              </w:rPr>
            </w:pPr>
          </w:p>
        </w:tc>
        <w:tc>
          <w:tcPr>
            <w:tcW w:w="867" w:type="dxa"/>
            <w:vAlign w:val="center"/>
          </w:tcPr>
          <w:p w14:paraId="1196FA20">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3.00</w:t>
            </w:r>
          </w:p>
        </w:tc>
      </w:tr>
      <w:tr w14:paraId="17403FA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0DDC4606">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146" w:type="dxa"/>
            <w:vAlign w:val="center"/>
          </w:tcPr>
          <w:p w14:paraId="4716550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复合肥</w:t>
            </w:r>
          </w:p>
        </w:tc>
        <w:tc>
          <w:tcPr>
            <w:tcW w:w="464" w:type="dxa"/>
            <w:vAlign w:val="center"/>
          </w:tcPr>
          <w:p w14:paraId="3D69FDFB">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t</w:t>
            </w:r>
          </w:p>
        </w:tc>
        <w:tc>
          <w:tcPr>
            <w:tcW w:w="774" w:type="dxa"/>
            <w:vAlign w:val="center"/>
          </w:tcPr>
          <w:p w14:paraId="48E6797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619" w:type="dxa"/>
            <w:vAlign w:val="center"/>
          </w:tcPr>
          <w:p w14:paraId="1B9DC9BA">
            <w:pPr>
              <w:adjustRightInd w:val="0"/>
              <w:snapToGrid w:val="0"/>
              <w:spacing w:line="240" w:lineRule="auto"/>
              <w:jc w:val="center"/>
              <w:rPr>
                <w:rFonts w:ascii="Times New Roman" w:hAnsi="Times New Roman" w:cs="Times New Roman"/>
                <w:color w:val="000000" w:themeColor="text1"/>
                <w:kern w:val="0"/>
                <w:sz w:val="24"/>
                <w:szCs w:val="24"/>
              </w:rPr>
            </w:pPr>
          </w:p>
        </w:tc>
        <w:tc>
          <w:tcPr>
            <w:tcW w:w="635" w:type="dxa"/>
            <w:vAlign w:val="center"/>
          </w:tcPr>
          <w:p w14:paraId="4DBABCF2">
            <w:pPr>
              <w:adjustRightInd w:val="0"/>
              <w:snapToGrid w:val="0"/>
              <w:spacing w:line="240" w:lineRule="auto"/>
              <w:jc w:val="center"/>
              <w:rPr>
                <w:rFonts w:ascii="Times New Roman" w:hAnsi="Times New Roman" w:cs="Times New Roman"/>
                <w:color w:val="000000" w:themeColor="text1"/>
                <w:kern w:val="0"/>
                <w:sz w:val="24"/>
                <w:szCs w:val="24"/>
              </w:rPr>
            </w:pPr>
          </w:p>
        </w:tc>
        <w:tc>
          <w:tcPr>
            <w:tcW w:w="909" w:type="dxa"/>
            <w:vAlign w:val="center"/>
          </w:tcPr>
          <w:p w14:paraId="73A39DE3">
            <w:pPr>
              <w:adjustRightInd w:val="0"/>
              <w:snapToGrid w:val="0"/>
              <w:spacing w:line="240" w:lineRule="auto"/>
              <w:jc w:val="center"/>
              <w:rPr>
                <w:rFonts w:ascii="Times New Roman" w:hAnsi="Times New Roman" w:cs="Times New Roman"/>
                <w:color w:val="000000" w:themeColor="text1"/>
                <w:kern w:val="0"/>
                <w:sz w:val="24"/>
                <w:szCs w:val="24"/>
              </w:rPr>
            </w:pPr>
          </w:p>
        </w:tc>
        <w:tc>
          <w:tcPr>
            <w:tcW w:w="755" w:type="dxa"/>
            <w:vAlign w:val="center"/>
          </w:tcPr>
          <w:p w14:paraId="212092A1">
            <w:pPr>
              <w:adjustRightInd w:val="0"/>
              <w:snapToGrid w:val="0"/>
              <w:spacing w:line="240" w:lineRule="auto"/>
              <w:jc w:val="center"/>
              <w:rPr>
                <w:rFonts w:ascii="Times New Roman" w:hAnsi="Times New Roman" w:cs="Times New Roman"/>
                <w:color w:val="000000" w:themeColor="text1"/>
                <w:kern w:val="0"/>
                <w:sz w:val="24"/>
                <w:szCs w:val="24"/>
              </w:rPr>
            </w:pPr>
          </w:p>
        </w:tc>
        <w:tc>
          <w:tcPr>
            <w:tcW w:w="907" w:type="dxa"/>
            <w:vAlign w:val="center"/>
          </w:tcPr>
          <w:p w14:paraId="456066B4">
            <w:pPr>
              <w:adjustRightInd w:val="0"/>
              <w:snapToGrid w:val="0"/>
              <w:spacing w:line="240" w:lineRule="auto"/>
              <w:jc w:val="center"/>
              <w:rPr>
                <w:rFonts w:ascii="Times New Roman" w:hAnsi="Times New Roman" w:cs="Times New Roman"/>
                <w:color w:val="000000" w:themeColor="text1"/>
                <w:kern w:val="0"/>
                <w:sz w:val="24"/>
                <w:szCs w:val="24"/>
              </w:rPr>
            </w:pPr>
          </w:p>
        </w:tc>
        <w:tc>
          <w:tcPr>
            <w:tcW w:w="907" w:type="dxa"/>
            <w:vAlign w:val="center"/>
          </w:tcPr>
          <w:p w14:paraId="6594DA62">
            <w:pPr>
              <w:adjustRightInd w:val="0"/>
              <w:snapToGrid w:val="0"/>
              <w:spacing w:line="240" w:lineRule="auto"/>
              <w:jc w:val="center"/>
              <w:rPr>
                <w:rFonts w:ascii="Times New Roman" w:hAnsi="Times New Roman" w:cs="Times New Roman"/>
                <w:color w:val="000000" w:themeColor="text1"/>
                <w:kern w:val="0"/>
                <w:sz w:val="24"/>
                <w:szCs w:val="24"/>
              </w:rPr>
            </w:pPr>
          </w:p>
        </w:tc>
        <w:tc>
          <w:tcPr>
            <w:tcW w:w="698" w:type="dxa"/>
            <w:vAlign w:val="center"/>
          </w:tcPr>
          <w:p w14:paraId="4C04F67C">
            <w:pPr>
              <w:adjustRightInd w:val="0"/>
              <w:snapToGrid w:val="0"/>
              <w:spacing w:line="240" w:lineRule="auto"/>
              <w:jc w:val="center"/>
              <w:rPr>
                <w:rFonts w:ascii="Times New Roman" w:hAnsi="Times New Roman" w:cs="Times New Roman"/>
                <w:color w:val="000000" w:themeColor="text1"/>
                <w:kern w:val="0"/>
                <w:sz w:val="24"/>
                <w:szCs w:val="24"/>
              </w:rPr>
            </w:pPr>
          </w:p>
        </w:tc>
        <w:tc>
          <w:tcPr>
            <w:tcW w:w="867" w:type="dxa"/>
            <w:vAlign w:val="center"/>
          </w:tcPr>
          <w:p w14:paraId="191DF79F">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3230.00</w:t>
            </w:r>
          </w:p>
        </w:tc>
      </w:tr>
      <w:tr w14:paraId="5C66B4A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09C770A1">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6</w:t>
            </w:r>
          </w:p>
        </w:tc>
        <w:tc>
          <w:tcPr>
            <w:tcW w:w="1146" w:type="dxa"/>
            <w:vAlign w:val="center"/>
          </w:tcPr>
          <w:p w14:paraId="573818A7">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水</w:t>
            </w:r>
          </w:p>
        </w:tc>
        <w:tc>
          <w:tcPr>
            <w:tcW w:w="464" w:type="dxa"/>
            <w:vAlign w:val="center"/>
          </w:tcPr>
          <w:p w14:paraId="564433B6">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774" w:type="dxa"/>
            <w:vAlign w:val="center"/>
          </w:tcPr>
          <w:p w14:paraId="7E71645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619" w:type="dxa"/>
            <w:vAlign w:val="center"/>
          </w:tcPr>
          <w:p w14:paraId="266753F7">
            <w:pPr>
              <w:adjustRightInd w:val="0"/>
              <w:snapToGrid w:val="0"/>
              <w:spacing w:line="240" w:lineRule="auto"/>
              <w:jc w:val="center"/>
              <w:rPr>
                <w:rFonts w:ascii="Times New Roman" w:hAnsi="Times New Roman" w:cs="Times New Roman"/>
                <w:color w:val="000000" w:themeColor="text1"/>
                <w:kern w:val="0"/>
                <w:sz w:val="24"/>
                <w:szCs w:val="24"/>
              </w:rPr>
            </w:pPr>
          </w:p>
        </w:tc>
        <w:tc>
          <w:tcPr>
            <w:tcW w:w="635" w:type="dxa"/>
            <w:vAlign w:val="center"/>
          </w:tcPr>
          <w:p w14:paraId="02553246">
            <w:pPr>
              <w:adjustRightInd w:val="0"/>
              <w:snapToGrid w:val="0"/>
              <w:spacing w:line="240" w:lineRule="auto"/>
              <w:jc w:val="center"/>
              <w:rPr>
                <w:rFonts w:ascii="Times New Roman" w:hAnsi="Times New Roman" w:cs="Times New Roman"/>
                <w:color w:val="000000" w:themeColor="text1"/>
                <w:kern w:val="0"/>
                <w:sz w:val="24"/>
                <w:szCs w:val="24"/>
              </w:rPr>
            </w:pPr>
          </w:p>
        </w:tc>
        <w:tc>
          <w:tcPr>
            <w:tcW w:w="909" w:type="dxa"/>
            <w:vAlign w:val="center"/>
          </w:tcPr>
          <w:p w14:paraId="14C81AB3">
            <w:pPr>
              <w:adjustRightInd w:val="0"/>
              <w:snapToGrid w:val="0"/>
              <w:spacing w:line="240" w:lineRule="auto"/>
              <w:jc w:val="center"/>
              <w:rPr>
                <w:rFonts w:ascii="Times New Roman" w:hAnsi="Times New Roman" w:cs="Times New Roman"/>
                <w:color w:val="000000" w:themeColor="text1"/>
                <w:kern w:val="0"/>
                <w:sz w:val="24"/>
                <w:szCs w:val="24"/>
              </w:rPr>
            </w:pPr>
          </w:p>
        </w:tc>
        <w:tc>
          <w:tcPr>
            <w:tcW w:w="755" w:type="dxa"/>
            <w:vAlign w:val="center"/>
          </w:tcPr>
          <w:p w14:paraId="55273E89">
            <w:pPr>
              <w:adjustRightInd w:val="0"/>
              <w:snapToGrid w:val="0"/>
              <w:spacing w:line="240" w:lineRule="auto"/>
              <w:jc w:val="center"/>
              <w:rPr>
                <w:rFonts w:ascii="Times New Roman" w:hAnsi="Times New Roman" w:cs="Times New Roman"/>
                <w:color w:val="000000" w:themeColor="text1"/>
                <w:kern w:val="0"/>
                <w:sz w:val="24"/>
                <w:szCs w:val="24"/>
              </w:rPr>
            </w:pPr>
          </w:p>
        </w:tc>
        <w:tc>
          <w:tcPr>
            <w:tcW w:w="907" w:type="dxa"/>
            <w:vAlign w:val="center"/>
          </w:tcPr>
          <w:p w14:paraId="563D4C02">
            <w:pPr>
              <w:adjustRightInd w:val="0"/>
              <w:snapToGrid w:val="0"/>
              <w:spacing w:line="240" w:lineRule="auto"/>
              <w:jc w:val="center"/>
              <w:rPr>
                <w:rFonts w:ascii="Times New Roman" w:hAnsi="Times New Roman" w:cs="Times New Roman"/>
                <w:color w:val="000000" w:themeColor="text1"/>
                <w:kern w:val="0"/>
                <w:sz w:val="24"/>
                <w:szCs w:val="24"/>
              </w:rPr>
            </w:pPr>
          </w:p>
        </w:tc>
        <w:tc>
          <w:tcPr>
            <w:tcW w:w="907" w:type="dxa"/>
            <w:vAlign w:val="center"/>
          </w:tcPr>
          <w:p w14:paraId="60C946CB">
            <w:pPr>
              <w:adjustRightInd w:val="0"/>
              <w:snapToGrid w:val="0"/>
              <w:spacing w:line="240" w:lineRule="auto"/>
              <w:jc w:val="center"/>
              <w:rPr>
                <w:rFonts w:ascii="Times New Roman" w:hAnsi="Times New Roman" w:cs="Times New Roman"/>
                <w:color w:val="000000" w:themeColor="text1"/>
                <w:kern w:val="0"/>
                <w:sz w:val="24"/>
                <w:szCs w:val="24"/>
              </w:rPr>
            </w:pPr>
          </w:p>
        </w:tc>
        <w:tc>
          <w:tcPr>
            <w:tcW w:w="698" w:type="dxa"/>
            <w:vAlign w:val="center"/>
          </w:tcPr>
          <w:p w14:paraId="5C2904DF">
            <w:pPr>
              <w:adjustRightInd w:val="0"/>
              <w:snapToGrid w:val="0"/>
              <w:spacing w:line="240" w:lineRule="auto"/>
              <w:jc w:val="center"/>
              <w:rPr>
                <w:rFonts w:ascii="Times New Roman" w:hAnsi="Times New Roman" w:cs="Times New Roman"/>
                <w:color w:val="000000" w:themeColor="text1"/>
                <w:kern w:val="0"/>
                <w:sz w:val="24"/>
                <w:szCs w:val="24"/>
              </w:rPr>
            </w:pPr>
          </w:p>
        </w:tc>
        <w:tc>
          <w:tcPr>
            <w:tcW w:w="867" w:type="dxa"/>
            <w:vAlign w:val="center"/>
          </w:tcPr>
          <w:p w14:paraId="0EAA1986">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1.69</w:t>
            </w:r>
          </w:p>
        </w:tc>
      </w:tr>
    </w:tbl>
    <w:p w14:paraId="39B1A4F4">
      <w:pPr>
        <w:pStyle w:val="178"/>
        <w:topLinePunct/>
        <w:rPr>
          <w:rFonts w:ascii="Times New Roman" w:hAnsi="Times New Roman" w:cs="Times New Roman"/>
          <w:color w:val="000000" w:themeColor="text1"/>
        </w:rPr>
      </w:pPr>
      <w:r>
        <w:rPr>
          <w:rFonts w:ascii="Times New Roman" w:hAnsi="Times New Roman" w:cs="Times New Roman"/>
          <w:color w:val="000000" w:themeColor="text1"/>
        </w:rPr>
        <w:t>（3）费用构成及相关费率</w:t>
      </w:r>
    </w:p>
    <w:p w14:paraId="12EC01A6">
      <w:pPr>
        <w:pStyle w:val="178"/>
        <w:topLinePunct/>
        <w:rPr>
          <w:rFonts w:ascii="Times New Roman" w:hAnsi="Times New Roman" w:cs="Times New Roman"/>
          <w:color w:val="000000" w:themeColor="text1"/>
        </w:rPr>
      </w:pPr>
      <w:r>
        <w:rPr>
          <w:rFonts w:ascii="Times New Roman" w:hAnsi="Times New Roman" w:cs="Times New Roman"/>
          <w:color w:val="000000" w:themeColor="text1"/>
        </w:rPr>
        <w:t>1）根据D/T1031.1-2011《T土地复垦方案编制规程第1部分：通则》，借鉴《土地复垦方案编制实务》（2011年6月国土资源部土地整理中心编著）和《黑龙江省土地开发整理项目预算定额标准》（黑财建〔2013〕294号），确定本项目土地复垦费用包括工程施工费、设备费、其他费用、监测与管护费以及预备费5部分。</w:t>
      </w:r>
    </w:p>
    <w:p w14:paraId="6B8BB71A">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2）工程施工费</w:t>
      </w:r>
    </w:p>
    <w:p w14:paraId="499D3E18">
      <w:pPr>
        <w:pStyle w:val="178"/>
        <w:topLinePunct/>
        <w:rPr>
          <w:rFonts w:ascii="Times New Roman" w:hAnsi="Times New Roman" w:cs="Times New Roman"/>
          <w:color w:val="000000" w:themeColor="text1"/>
        </w:rPr>
      </w:pPr>
      <w:r>
        <w:rPr>
          <w:rFonts w:ascii="Times New Roman" w:hAnsi="Times New Roman" w:cs="Times New Roman"/>
          <w:color w:val="000000" w:themeColor="text1"/>
        </w:rPr>
        <w:t>工程施工费由直接费、间接费、利润、税金组成。</w:t>
      </w:r>
    </w:p>
    <w:p w14:paraId="375ABE5D">
      <w:pPr>
        <w:pStyle w:val="178"/>
        <w:topLinePunct/>
        <w:rPr>
          <w:rFonts w:ascii="Times New Roman" w:hAnsi="Times New Roman" w:cs="Times New Roman"/>
          <w:color w:val="000000" w:themeColor="text1"/>
        </w:rPr>
      </w:pPr>
      <w:r>
        <w:rPr>
          <w:rFonts w:ascii="Times New Roman" w:hAnsi="Times New Roman" w:cs="Times New Roman"/>
          <w:color w:val="000000" w:themeColor="text1"/>
        </w:rPr>
        <w:t>①直接费：包括直接工程费与措施费。</w:t>
      </w:r>
    </w:p>
    <w:p w14:paraId="36B6FB8A">
      <w:pPr>
        <w:pStyle w:val="178"/>
        <w:topLinePunct/>
        <w:rPr>
          <w:rFonts w:ascii="Times New Roman" w:hAnsi="Times New Roman" w:cs="Times New Roman"/>
          <w:color w:val="000000" w:themeColor="text1"/>
        </w:rPr>
      </w:pPr>
      <w:r>
        <w:rPr>
          <w:rFonts w:ascii="Times New Roman" w:hAnsi="Times New Roman" w:cs="Times New Roman"/>
          <w:color w:val="000000" w:themeColor="text1"/>
        </w:rPr>
        <w:t>直接工程费包括人工费、材料费、施工机械使用费。</w:t>
      </w:r>
    </w:p>
    <w:p w14:paraId="352DC825">
      <w:pPr>
        <w:pStyle w:val="178"/>
        <w:topLinePunct/>
        <w:rPr>
          <w:rFonts w:ascii="Times New Roman" w:hAnsi="Times New Roman" w:cs="Times New Roman"/>
          <w:color w:val="000000" w:themeColor="text1"/>
        </w:rPr>
      </w:pPr>
      <w:r>
        <w:rPr>
          <w:rFonts w:ascii="Times New Roman" w:hAnsi="Times New Roman" w:cs="Times New Roman"/>
          <w:color w:val="000000" w:themeColor="text1"/>
        </w:rPr>
        <w:t>人工费：指直接从事工程施工的生产工人开支的各项费用。包括基本工资、辅助工资和工资附加费。</w:t>
      </w:r>
    </w:p>
    <w:p w14:paraId="628CAB19">
      <w:pPr>
        <w:pStyle w:val="178"/>
        <w:topLinePunct/>
        <w:rPr>
          <w:rFonts w:ascii="Times New Roman" w:hAnsi="Times New Roman" w:cs="Times New Roman"/>
          <w:color w:val="000000" w:themeColor="text1"/>
        </w:rPr>
      </w:pPr>
      <w:r>
        <w:rPr>
          <w:rFonts w:ascii="Times New Roman" w:hAnsi="Times New Roman" w:cs="Times New Roman"/>
          <w:color w:val="000000" w:themeColor="text1"/>
        </w:rPr>
        <w:t>人工费=定额劳动量（工日）×人工预算单价（元/工日）</w:t>
      </w:r>
    </w:p>
    <w:p w14:paraId="40804D6A">
      <w:pPr>
        <w:pStyle w:val="178"/>
        <w:topLinePunct/>
        <w:rPr>
          <w:rFonts w:ascii="Times New Roman" w:hAnsi="Times New Roman" w:cs="Times New Roman"/>
          <w:color w:val="000000" w:themeColor="text1"/>
        </w:rPr>
      </w:pPr>
      <w:r>
        <w:rPr>
          <w:rFonts w:ascii="Times New Roman" w:hAnsi="Times New Roman" w:cs="Times New Roman"/>
          <w:color w:val="000000" w:themeColor="text1"/>
        </w:rPr>
        <w:t>材料费：指用于工程项目上的消耗性材料费、装置性材料费和周转性材料摊销费。材料预算价格一般包括材料原价、包装费、运杂费、运输保险费和采购及保管费五项。材料用量按照《黑龙江省土地开发整理项目预算定额标准》（黑财建〔2013〕294号），汽油、柴油价格依据发改委发布的最新油价确定，其他材料价格依据当地市场价格确定。</w:t>
      </w:r>
    </w:p>
    <w:p w14:paraId="3E3F7022">
      <w:pPr>
        <w:pStyle w:val="178"/>
        <w:topLinePunct/>
        <w:rPr>
          <w:rFonts w:ascii="Times New Roman" w:hAnsi="Times New Roman" w:cs="Times New Roman"/>
          <w:color w:val="000000" w:themeColor="text1"/>
        </w:rPr>
      </w:pPr>
      <w:r>
        <w:rPr>
          <w:rFonts w:ascii="Times New Roman" w:hAnsi="Times New Roman" w:cs="Times New Roman"/>
          <w:color w:val="000000" w:themeColor="text1"/>
        </w:rPr>
        <w:t>施工机械使用费：指消耗在工程项目上的机械磨损，维修和动力燃料等费用。包括折旧费、修理及替换设备费、安装拆卸费、机上人工费和动力燃料费，以不含税价格进行计算。</w:t>
      </w:r>
    </w:p>
    <w:p w14:paraId="372F3D24">
      <w:pPr>
        <w:pStyle w:val="178"/>
        <w:topLinePunct/>
        <w:rPr>
          <w:rFonts w:ascii="Times New Roman" w:hAnsi="Times New Roman" w:cs="Times New Roman"/>
          <w:color w:val="000000" w:themeColor="text1"/>
        </w:rPr>
      </w:pPr>
      <w:r>
        <w:rPr>
          <w:rFonts w:ascii="Times New Roman" w:hAnsi="Times New Roman" w:cs="Times New Roman"/>
          <w:color w:val="000000" w:themeColor="text1"/>
        </w:rPr>
        <w:t>在以上三项费用的计算，均根据《黑龙江省土地开发整理项目预算定额标准》（黑财建〔2013〕294号）进行。物价参照地方物价标准。</w:t>
      </w:r>
    </w:p>
    <w:p w14:paraId="48014ADB">
      <w:pPr>
        <w:pStyle w:val="178"/>
        <w:topLinePunct/>
        <w:rPr>
          <w:rFonts w:ascii="Times New Roman" w:hAnsi="Times New Roman" w:cs="Times New Roman"/>
          <w:color w:val="000000" w:themeColor="text1"/>
        </w:rPr>
      </w:pPr>
      <w:r>
        <w:rPr>
          <w:rFonts w:ascii="Times New Roman" w:hAnsi="Times New Roman" w:cs="Times New Roman"/>
          <w:color w:val="000000" w:themeColor="text1"/>
        </w:rPr>
        <w:t>措施费：包括临时设施费、夜间施工费增加费、冬雨季施工增加费、施工辅 助费及安全施工措施费。本项目主要是土方、石方、砌体工程，临时设施费都为 2%，因此临时设施费取 2%，冬雨季施工增加费取 1.5%，夜间施工费增加费取 0.5%， 施工辅助费取 0.7%，安全施工措施费取 0.3%。本项目措施费费率计取5%，计算基础为直接工程费。</w:t>
      </w:r>
    </w:p>
    <w:p w14:paraId="00623FFB">
      <w:pPr>
        <w:pStyle w:val="178"/>
        <w:topLinePunct/>
        <w:rPr>
          <w:rFonts w:ascii="Times New Roman" w:hAnsi="Times New Roman" w:cs="Times New Roman"/>
          <w:color w:val="000000" w:themeColor="text1"/>
        </w:rPr>
      </w:pPr>
      <w:r>
        <w:rPr>
          <w:rFonts w:ascii="Times New Roman" w:hAnsi="Times New Roman" w:cs="Times New Roman"/>
          <w:color w:val="000000" w:themeColor="text1"/>
        </w:rPr>
        <w:t>②间接费</w:t>
      </w:r>
    </w:p>
    <w:p w14:paraId="38333514">
      <w:pPr>
        <w:pStyle w:val="178"/>
        <w:topLinePunct/>
        <w:rPr>
          <w:rFonts w:ascii="Times New Roman" w:hAnsi="Times New Roman" w:cs="Times New Roman"/>
          <w:color w:val="000000" w:themeColor="text1"/>
        </w:rPr>
      </w:pPr>
      <w:r>
        <w:rPr>
          <w:rFonts w:ascii="Times New Roman" w:hAnsi="Times New Roman" w:cs="Times New Roman"/>
          <w:color w:val="000000" w:themeColor="text1"/>
        </w:rPr>
        <w:t>依据《土地复垦方案编制实务》（2011 年 6 月国土资源部土地整理中心编 著）的间接费计取规定，间接费取 5%，计算基础为直接工程费。</w:t>
      </w:r>
    </w:p>
    <w:p w14:paraId="1586AE47">
      <w:pPr>
        <w:pStyle w:val="178"/>
        <w:topLinePunct/>
        <w:rPr>
          <w:rFonts w:ascii="Times New Roman" w:hAnsi="Times New Roman" w:cs="Times New Roman"/>
          <w:color w:val="000000" w:themeColor="text1"/>
        </w:rPr>
      </w:pPr>
      <w:r>
        <w:rPr>
          <w:rFonts w:ascii="Times New Roman" w:hAnsi="Times New Roman" w:cs="Times New Roman"/>
          <w:color w:val="000000" w:themeColor="text1"/>
        </w:rPr>
        <w:t>③利润</w:t>
      </w:r>
    </w:p>
    <w:p w14:paraId="6239E2D2">
      <w:pPr>
        <w:pStyle w:val="178"/>
        <w:topLinePunct/>
        <w:rPr>
          <w:rFonts w:ascii="Times New Roman" w:hAnsi="Times New Roman" w:cs="Times New Roman"/>
          <w:color w:val="000000" w:themeColor="text1"/>
        </w:rPr>
      </w:pPr>
      <w:r>
        <w:rPr>
          <w:rFonts w:ascii="Times New Roman" w:hAnsi="Times New Roman" w:cs="Times New Roman"/>
          <w:color w:val="000000" w:themeColor="text1"/>
        </w:rPr>
        <w:t>利润是指按规定应计入工程造价的利润。依据《土地复垦方案编制实务》（2011 年 6 月国土资源部土地整理中心编著）规定，利润率取 7%，计算基础为 直接费与间接费两项之和。</w:t>
      </w:r>
    </w:p>
    <w:p w14:paraId="5AB18146">
      <w:pPr>
        <w:pStyle w:val="178"/>
        <w:topLinePunct/>
        <w:rPr>
          <w:rFonts w:ascii="Times New Roman" w:hAnsi="Times New Roman" w:cs="Times New Roman"/>
          <w:color w:val="000000" w:themeColor="text1"/>
        </w:rPr>
      </w:pPr>
      <w:r>
        <w:rPr>
          <w:rFonts w:ascii="Times New Roman" w:hAnsi="Times New Roman" w:cs="Times New Roman"/>
          <w:color w:val="000000" w:themeColor="text1"/>
        </w:rPr>
        <w:t>④税金</w:t>
      </w:r>
    </w:p>
    <w:p w14:paraId="25E71FD5">
      <w:pPr>
        <w:pStyle w:val="178"/>
        <w:topLinePunct/>
        <w:rPr>
          <w:rFonts w:ascii="Times New Roman" w:hAnsi="Times New Roman" w:cs="Times New Roman"/>
          <w:color w:val="000000" w:themeColor="text1"/>
        </w:rPr>
      </w:pPr>
      <w:r>
        <w:rPr>
          <w:rFonts w:ascii="Times New Roman" w:hAnsi="Times New Roman" w:cs="Times New Roman"/>
          <w:color w:val="000000" w:themeColor="text1"/>
        </w:rPr>
        <w:t>指国家税法规定的应计入工程造价内的增值税。计算公式为：</w:t>
      </w:r>
    </w:p>
    <w:p w14:paraId="6C78B441">
      <w:pPr>
        <w:pStyle w:val="178"/>
        <w:topLinePunct/>
        <w:rPr>
          <w:rFonts w:ascii="Times New Roman" w:hAnsi="Times New Roman" w:cs="Times New Roman"/>
          <w:color w:val="000000" w:themeColor="text1"/>
        </w:rPr>
      </w:pPr>
      <w:r>
        <w:rPr>
          <w:rFonts w:ascii="Times New Roman" w:hAnsi="Times New Roman" w:cs="Times New Roman"/>
          <w:color w:val="000000" w:themeColor="text1"/>
        </w:rPr>
        <w:t>税金=（直接工程费+间接费+利润+材料价差）×增值税税率</w:t>
      </w:r>
    </w:p>
    <w:p w14:paraId="20791B7F">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根据根据《财政部 税务总局 海关总署关于深化增值税改革有关政策的公告》（财政部税务总局海关总署公告 2019 年第 39 号）文件，税率按 9%执行。</w:t>
      </w:r>
    </w:p>
    <w:p w14:paraId="61AFA2CF">
      <w:pPr>
        <w:pStyle w:val="178"/>
        <w:topLinePunct/>
        <w:rPr>
          <w:rFonts w:ascii="Times New Roman" w:hAnsi="Times New Roman" w:cs="Times New Roman"/>
          <w:color w:val="000000" w:themeColor="text1"/>
        </w:rPr>
      </w:pPr>
      <w:r>
        <w:rPr>
          <w:rFonts w:ascii="Times New Roman" w:hAnsi="Times New Roman" w:cs="Times New Roman"/>
          <w:color w:val="000000" w:themeColor="text1"/>
        </w:rPr>
        <w:t>3）设备购置费</w:t>
      </w:r>
    </w:p>
    <w:p w14:paraId="58F1201E">
      <w:pPr>
        <w:pStyle w:val="178"/>
        <w:topLinePunct/>
        <w:rPr>
          <w:rFonts w:ascii="Times New Roman" w:hAnsi="Times New Roman" w:cs="Times New Roman"/>
          <w:color w:val="000000" w:themeColor="text1"/>
        </w:rPr>
      </w:pPr>
      <w:r>
        <w:rPr>
          <w:rFonts w:ascii="Times New Roman" w:hAnsi="Times New Roman" w:cs="Times New Roman"/>
          <w:color w:val="000000" w:themeColor="text1"/>
        </w:rPr>
        <w:t>设备购置费包括设备原价、运杂费、运输保险费和采购及保管费。本项目不涉及到此项。</w:t>
      </w:r>
    </w:p>
    <w:p w14:paraId="0511E489">
      <w:pPr>
        <w:pStyle w:val="178"/>
        <w:topLinePunct/>
        <w:rPr>
          <w:rFonts w:ascii="Times New Roman" w:hAnsi="Times New Roman" w:cs="Times New Roman"/>
          <w:color w:val="000000" w:themeColor="text1"/>
        </w:rPr>
      </w:pPr>
      <w:r>
        <w:rPr>
          <w:rFonts w:ascii="Times New Roman" w:hAnsi="Times New Roman" w:cs="Times New Roman"/>
          <w:color w:val="000000" w:themeColor="text1"/>
        </w:rPr>
        <w:t>4）其它费用</w:t>
      </w:r>
    </w:p>
    <w:p w14:paraId="7F8485C3">
      <w:pPr>
        <w:pStyle w:val="178"/>
        <w:topLinePunct/>
        <w:rPr>
          <w:rFonts w:ascii="Times New Roman" w:hAnsi="Times New Roman" w:cs="Times New Roman"/>
          <w:color w:val="000000" w:themeColor="text1"/>
        </w:rPr>
      </w:pPr>
      <w:r>
        <w:rPr>
          <w:rFonts w:ascii="Times New Roman" w:hAnsi="Times New Roman" w:cs="Times New Roman"/>
          <w:color w:val="000000" w:themeColor="text1"/>
        </w:rPr>
        <w:t>其它费用由前期工作费、工程监理费、竣工验收费、业主管理费和土地治理监测费构成。</w:t>
      </w:r>
    </w:p>
    <w:p w14:paraId="4E75BB77">
      <w:pPr>
        <w:pStyle w:val="178"/>
        <w:topLinePunct/>
        <w:rPr>
          <w:rFonts w:ascii="Times New Roman" w:hAnsi="Times New Roman" w:cs="Times New Roman"/>
          <w:color w:val="000000" w:themeColor="text1"/>
        </w:rPr>
      </w:pPr>
      <w:r>
        <w:rPr>
          <w:rFonts w:ascii="Times New Roman" w:hAnsi="Times New Roman" w:cs="Times New Roman"/>
          <w:color w:val="000000" w:themeColor="text1"/>
        </w:rPr>
        <w:t>①前期工作费</w:t>
      </w:r>
    </w:p>
    <w:p w14:paraId="65760E6C">
      <w:pPr>
        <w:pStyle w:val="178"/>
        <w:topLinePunct/>
        <w:rPr>
          <w:rFonts w:ascii="Times New Roman" w:hAnsi="Times New Roman" w:cs="Times New Roman"/>
          <w:color w:val="000000" w:themeColor="text1"/>
        </w:rPr>
      </w:pPr>
      <w:r>
        <w:rPr>
          <w:rFonts w:ascii="Times New Roman" w:hAnsi="Times New Roman" w:cs="Times New Roman"/>
          <w:color w:val="000000" w:themeColor="text1"/>
        </w:rPr>
        <w:t>其他费用包括前期工作费、工程监理费、竣工验收费和业主管理费。</w:t>
      </w:r>
    </w:p>
    <w:p w14:paraId="1514FAA8">
      <w:pPr>
        <w:pStyle w:val="178"/>
        <w:topLinePunct/>
        <w:rPr>
          <w:rFonts w:ascii="Times New Roman" w:hAnsi="Times New Roman" w:cs="Times New Roman"/>
          <w:color w:val="000000" w:themeColor="text1"/>
        </w:rPr>
      </w:pPr>
      <w:r>
        <w:rPr>
          <w:rFonts w:ascii="Times New Roman" w:hAnsi="Times New Roman" w:cs="Times New Roman"/>
          <w:color w:val="000000" w:themeColor="text1"/>
        </w:rPr>
        <w:t>a.前期工作费</w:t>
      </w:r>
    </w:p>
    <w:p w14:paraId="34393C73">
      <w:pPr>
        <w:pStyle w:val="178"/>
        <w:topLinePunct/>
        <w:rPr>
          <w:rFonts w:ascii="Times New Roman" w:hAnsi="Times New Roman" w:cs="Times New Roman"/>
          <w:color w:val="000000" w:themeColor="text1"/>
        </w:rPr>
      </w:pPr>
      <w:r>
        <w:rPr>
          <w:rFonts w:ascii="Times New Roman" w:hAnsi="Times New Roman" w:cs="Times New Roman"/>
          <w:color w:val="000000" w:themeColor="text1"/>
        </w:rPr>
        <w:t>前期工作费是指工程施工前所发生的各项支出，包括：土地利用与生态现状调查费、土地勘测费、土地复垦方案编制费、阶段性实施方案编制费、科研试验费和工程招标代理费。</w:t>
      </w:r>
    </w:p>
    <w:p w14:paraId="10ABF513">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根据《土地复垦方案编制实务》（2011年6月国土资源部土地整理中心编著），可按照工程施工费的5%-7%计取。本方案按照5%计取。</w:t>
      </w:r>
    </w:p>
    <w:p w14:paraId="76885783">
      <w:pPr>
        <w:pStyle w:val="178"/>
        <w:topLinePunct/>
        <w:rPr>
          <w:rFonts w:ascii="Times New Roman" w:hAnsi="Times New Roman" w:cs="Times New Roman"/>
          <w:color w:val="000000" w:themeColor="text1"/>
        </w:rPr>
      </w:pPr>
      <w:r>
        <w:rPr>
          <w:rFonts w:ascii="Times New Roman" w:hAnsi="Times New Roman" w:cs="Times New Roman"/>
          <w:color w:val="000000" w:themeColor="text1"/>
        </w:rPr>
        <w:t>b.工程监理费</w:t>
      </w:r>
    </w:p>
    <w:p w14:paraId="27CABA92">
      <w:pPr>
        <w:pStyle w:val="178"/>
        <w:topLinePunct/>
        <w:rPr>
          <w:rFonts w:ascii="Times New Roman" w:hAnsi="Times New Roman" w:cs="Times New Roman"/>
          <w:color w:val="000000" w:themeColor="text1"/>
        </w:rPr>
      </w:pPr>
      <w:r>
        <w:rPr>
          <w:rFonts w:ascii="Times New Roman" w:hAnsi="Times New Roman" w:cs="Times New Roman"/>
          <w:color w:val="000000" w:themeColor="text1"/>
        </w:rPr>
        <w:t>工程监理费指工程承担单位委托具有工程监理资质的单位，按国家有关规定对工程质量、进度、安全和投资进行全过程的监督与管理所发生的费用。以工程施工费、复垦监测与管护费和设备费为计算基数，依据《土地复垦方案编制实务》（2011年6月国土资源部土地整理中心编著）本项目可按照施工费的2%-3%计取。本方案按照工程施工费的2%计取。</w:t>
      </w:r>
    </w:p>
    <w:p w14:paraId="4FCF67DE">
      <w:pPr>
        <w:pStyle w:val="178"/>
        <w:topLinePunct/>
        <w:rPr>
          <w:rFonts w:ascii="Times New Roman" w:hAnsi="Times New Roman" w:cs="Times New Roman"/>
          <w:color w:val="000000" w:themeColor="text1"/>
        </w:rPr>
      </w:pPr>
      <w:r>
        <w:rPr>
          <w:rFonts w:ascii="Times New Roman" w:hAnsi="Times New Roman" w:cs="Times New Roman"/>
          <w:color w:val="000000" w:themeColor="text1"/>
        </w:rPr>
        <w:t>c.竣工验收费</w:t>
      </w:r>
    </w:p>
    <w:p w14:paraId="49277A2A">
      <w:pPr>
        <w:pStyle w:val="178"/>
        <w:topLinePunct/>
        <w:rPr>
          <w:rFonts w:ascii="Times New Roman" w:hAnsi="Times New Roman" w:cs="Times New Roman"/>
          <w:color w:val="000000" w:themeColor="text1"/>
        </w:rPr>
      </w:pPr>
      <w:r>
        <w:rPr>
          <w:rFonts w:ascii="Times New Roman" w:hAnsi="Times New Roman" w:cs="Times New Roman"/>
          <w:color w:val="000000" w:themeColor="text1"/>
        </w:rPr>
        <w:t>竣工验收费是指复垦工程完工后，因工程竣工验收、决算、成果管理等发生的各项费用，主要包括：工程复核费、工程验收费、工程决算编制与审计费、复垦后土地重估与登记费和标识设定费。依据《土地复垦方案编制实务》（2011年6月国土资源部土地整理中心编著）规定，竣工验收费按工程施工费的3.0%计取。</w:t>
      </w:r>
    </w:p>
    <w:p w14:paraId="7E523026">
      <w:pPr>
        <w:pStyle w:val="178"/>
        <w:topLinePunct/>
        <w:rPr>
          <w:rFonts w:ascii="Times New Roman" w:hAnsi="Times New Roman" w:cs="Times New Roman"/>
          <w:color w:val="000000" w:themeColor="text1"/>
        </w:rPr>
      </w:pPr>
      <w:r>
        <w:rPr>
          <w:rFonts w:ascii="Times New Roman" w:hAnsi="Times New Roman" w:cs="Times New Roman"/>
          <w:color w:val="000000" w:themeColor="text1"/>
        </w:rPr>
        <w:t>d.业主管理费</w:t>
      </w:r>
    </w:p>
    <w:p w14:paraId="504A43CA">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根据《黑龙江省土地开发整理项目预算定额标准》（黑财建〔2013〕294号）规定，业主管理费按工程施工费、前期工作费、工程监理费、竣工验收费四项之和的 2.8%计取。</w:t>
      </w:r>
    </w:p>
    <w:p w14:paraId="63DD1280">
      <w:pPr>
        <w:pStyle w:val="178"/>
        <w:topLinePunct/>
        <w:rPr>
          <w:rFonts w:ascii="Times New Roman" w:hAnsi="Times New Roman" w:cs="Times New Roman"/>
          <w:color w:val="000000" w:themeColor="text1"/>
        </w:rPr>
      </w:pPr>
      <w:r>
        <w:rPr>
          <w:rFonts w:ascii="Times New Roman" w:hAnsi="Times New Roman" w:cs="Times New Roman"/>
          <w:color w:val="000000" w:themeColor="text1"/>
        </w:rPr>
        <w:t>5）监测与管护费</w:t>
      </w:r>
    </w:p>
    <w:p w14:paraId="71F127ED">
      <w:pPr>
        <w:pStyle w:val="178"/>
        <w:topLinePunct/>
        <w:rPr>
          <w:rFonts w:ascii="Times New Roman" w:hAnsi="Times New Roman" w:cs="Times New Roman"/>
          <w:color w:val="000000" w:themeColor="text1"/>
        </w:rPr>
      </w:pPr>
      <w:r>
        <w:rPr>
          <w:rFonts w:ascii="Times New Roman" w:hAnsi="Times New Roman" w:cs="Times New Roman"/>
          <w:color w:val="000000" w:themeColor="text1"/>
        </w:rPr>
        <w:t>①监测费</w:t>
      </w:r>
    </w:p>
    <w:p w14:paraId="33E7479A">
      <w:pPr>
        <w:pStyle w:val="178"/>
        <w:topLinePunct/>
        <w:rPr>
          <w:rFonts w:ascii="Times New Roman" w:hAnsi="Times New Roman" w:cs="Times New Roman"/>
          <w:color w:val="000000" w:themeColor="text1"/>
        </w:rPr>
      </w:pPr>
      <w:r>
        <w:rPr>
          <w:rFonts w:ascii="Times New Roman" w:hAnsi="Times New Roman" w:cs="Times New Roman"/>
          <w:color w:val="000000" w:themeColor="text1"/>
        </w:rPr>
        <w:t>监测费是指在矿山开采过程中，为了能及时掌握实际情况，调整并采取及时、有效、正确的复垦措施而设定监测点，用来监测土壤状况、复垦效果和设施等情况，确保复垦工作顺利进行所产生的费用。</w:t>
      </w:r>
    </w:p>
    <w:p w14:paraId="7C38C713">
      <w:pPr>
        <w:pStyle w:val="178"/>
        <w:topLinePunct/>
        <w:rPr>
          <w:rFonts w:ascii="Times New Roman" w:hAnsi="Times New Roman" w:cs="Times New Roman"/>
          <w:color w:val="000000" w:themeColor="text1"/>
        </w:rPr>
      </w:pPr>
      <w:r>
        <w:rPr>
          <w:rFonts w:ascii="Times New Roman" w:hAnsi="Times New Roman" w:cs="Times New Roman"/>
          <w:color w:val="000000" w:themeColor="text1"/>
        </w:rPr>
        <w:t>②管护费</w:t>
      </w:r>
    </w:p>
    <w:p w14:paraId="0C90315C">
      <w:pPr>
        <w:pStyle w:val="178"/>
        <w:topLinePunct/>
        <w:rPr>
          <w:rFonts w:ascii="Times New Roman" w:hAnsi="Times New Roman" w:cs="Times New Roman"/>
          <w:color w:val="000000" w:themeColor="text1"/>
        </w:rPr>
      </w:pPr>
      <w:r>
        <w:rPr>
          <w:rFonts w:ascii="Times New Roman" w:hAnsi="Times New Roman" w:cs="Times New Roman"/>
          <w:color w:val="000000" w:themeColor="text1"/>
        </w:rPr>
        <w:t>管护费是对复垦后的一些重要的工程措施、植被和复垦区域土地等进行有针对性的巡查、补植、除草、施肥浇水、修枝、喷药、等管护工作所发生的费用，主要包括管理和养护两大类。</w:t>
      </w:r>
    </w:p>
    <w:p w14:paraId="27F107E7">
      <w:pPr>
        <w:pStyle w:val="178"/>
        <w:numPr>
          <w:ilvl w:val="0"/>
          <w:numId w:val="1"/>
        </w:numPr>
        <w:topLinePunct/>
        <w:rPr>
          <w:rFonts w:ascii="Times New Roman" w:hAnsi="Times New Roman" w:cs="Times New Roman"/>
          <w:color w:val="000000" w:themeColor="text1"/>
        </w:rPr>
      </w:pPr>
      <w:r>
        <w:rPr>
          <w:rFonts w:ascii="Times New Roman" w:hAnsi="Times New Roman" w:cs="Times New Roman"/>
          <w:color w:val="000000" w:themeColor="text1"/>
        </w:rPr>
        <w:t>预备费</w:t>
      </w:r>
    </w:p>
    <w:p w14:paraId="20C22FD5">
      <w:pPr>
        <w:pStyle w:val="178"/>
        <w:topLinePunct/>
        <w:rPr>
          <w:rFonts w:ascii="Times New Roman" w:hAnsi="Times New Roman" w:cs="Times New Roman"/>
          <w:color w:val="000000" w:themeColor="text1"/>
        </w:rPr>
      </w:pPr>
      <w:r>
        <w:rPr>
          <w:rFonts w:ascii="Times New Roman" w:hAnsi="Times New Roman" w:cs="Times New Roman"/>
          <w:color w:val="000000" w:themeColor="text1"/>
        </w:rPr>
        <w:t>预备费由基本预备费和风险金构成。</w:t>
      </w:r>
    </w:p>
    <w:p w14:paraId="50D7D90D">
      <w:pPr>
        <w:pStyle w:val="178"/>
        <w:topLinePunct/>
        <w:rPr>
          <w:rFonts w:ascii="Times New Roman" w:hAnsi="Times New Roman" w:cs="Times New Roman"/>
          <w:color w:val="000000" w:themeColor="text1"/>
        </w:rPr>
      </w:pPr>
      <w:r>
        <w:rPr>
          <w:rFonts w:ascii="Times New Roman" w:hAnsi="Times New Roman" w:cs="Times New Roman"/>
          <w:color w:val="000000" w:themeColor="text1"/>
        </w:rPr>
        <w:t>①基本预备费是指为解决工程施工过程中因自然、设计变更等所增加的费用。依据《土地复垦方案编制实务》（2011年6月国土资源部土地整理中心编著）规定可按工程施工费、设备费和其他费用之和的6％～10%计取。本次方案按8%计取。</w:t>
      </w:r>
    </w:p>
    <w:p w14:paraId="307D8E92">
      <w:pPr>
        <w:pStyle w:val="178"/>
        <w:topLinePunct/>
        <w:rPr>
          <w:rFonts w:ascii="Times New Roman" w:hAnsi="Times New Roman" w:cs="Times New Roman"/>
          <w:color w:val="000000" w:themeColor="text1"/>
        </w:rPr>
      </w:pPr>
      <w:r>
        <w:rPr>
          <w:rFonts w:ascii="Times New Roman" w:hAnsi="Times New Roman" w:cs="Times New Roman"/>
          <w:color w:val="000000" w:themeColor="text1"/>
        </w:rPr>
        <w:t>②风险金按工程施工费和其他费用之和的5.00%进行计取。</w:t>
      </w:r>
    </w:p>
    <w:p w14:paraId="117D244C">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（二）单项工程量及其经费估算</w:t>
      </w:r>
    </w:p>
    <w:p w14:paraId="15189759">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根据所涉及的工程类型、工程设计、工程部署、工程量及工程技术手段等，参照相关标准，进行经费估算，表土剥离与植被移植利用</w:t>
      </w:r>
      <w:r>
        <w:rPr>
          <w:rFonts w:hint="eastAsia" w:ascii="Times New Roman" w:hAnsi="Times New Roman" w:cs="Times New Roman"/>
          <w:color w:val="000000" w:themeColor="text1"/>
        </w:rPr>
        <w:t>12.79</w:t>
      </w:r>
      <w:r>
        <w:rPr>
          <w:rFonts w:ascii="Times New Roman" w:hAnsi="Times New Roman" w:cs="Times New Roman"/>
          <w:color w:val="000000" w:themeColor="text1"/>
        </w:rPr>
        <w:t>万元、地貌重塑经费</w:t>
      </w:r>
      <w:r>
        <w:rPr>
          <w:rFonts w:hint="eastAsia" w:ascii="Times New Roman" w:hAnsi="Times New Roman" w:cs="Times New Roman"/>
          <w:color w:val="000000" w:themeColor="text1"/>
        </w:rPr>
        <w:t>7.16</w:t>
      </w:r>
      <w:r>
        <w:rPr>
          <w:rFonts w:ascii="Times New Roman" w:hAnsi="Times New Roman" w:cs="Times New Roman"/>
          <w:color w:val="000000" w:themeColor="text1"/>
        </w:rPr>
        <w:t>万元、土壤重构经费</w:t>
      </w:r>
      <w:r>
        <w:rPr>
          <w:rFonts w:hint="eastAsia" w:ascii="Times New Roman" w:hAnsi="Times New Roman" w:cs="Times New Roman"/>
          <w:color w:val="000000" w:themeColor="text1"/>
          <w:lang w:val="en-US" w:eastAsia="zh-CN"/>
        </w:rPr>
        <w:t>3.78</w:t>
      </w:r>
      <w:r>
        <w:rPr>
          <w:rFonts w:ascii="Times New Roman" w:hAnsi="Times New Roman" w:cs="Times New Roman"/>
          <w:color w:val="000000" w:themeColor="text1"/>
        </w:rPr>
        <w:t>万元、植被重建经费</w:t>
      </w:r>
      <w:r>
        <w:rPr>
          <w:rFonts w:hint="eastAsia" w:ascii="Times New Roman" w:hAnsi="Times New Roman" w:cs="Times New Roman"/>
          <w:color w:val="000000" w:themeColor="text1"/>
          <w:lang w:val="en-US" w:eastAsia="zh-CN"/>
        </w:rPr>
        <w:t>35.87</w:t>
      </w:r>
      <w:r>
        <w:rPr>
          <w:rFonts w:ascii="Times New Roman" w:hAnsi="Times New Roman" w:cs="Times New Roman"/>
          <w:color w:val="000000" w:themeColor="text1"/>
        </w:rPr>
        <w:t>万元、景观营建经费</w:t>
      </w:r>
      <w:r>
        <w:rPr>
          <w:rFonts w:hint="eastAsia" w:ascii="Times New Roman" w:hAnsi="Times New Roman" w:cs="Times New Roman"/>
          <w:color w:val="000000" w:themeColor="text1"/>
          <w:lang w:val="en-US" w:eastAsia="zh-CN"/>
        </w:rPr>
        <w:t>0.50</w:t>
      </w:r>
      <w:r>
        <w:rPr>
          <w:rFonts w:ascii="Times New Roman" w:hAnsi="Times New Roman" w:cs="Times New Roman"/>
          <w:color w:val="000000" w:themeColor="text1"/>
        </w:rPr>
        <w:t>万元、监测与管护经费</w:t>
      </w:r>
      <w:r>
        <w:rPr>
          <w:rFonts w:hint="eastAsia" w:ascii="Times New Roman" w:hAnsi="Times New Roman" w:cs="Times New Roman"/>
          <w:color w:val="000000" w:themeColor="text1"/>
          <w:lang w:val="en-US" w:eastAsia="zh-CN"/>
        </w:rPr>
        <w:t>27.00</w:t>
      </w:r>
      <w:r>
        <w:rPr>
          <w:rFonts w:ascii="Times New Roman" w:hAnsi="Times New Roman" w:cs="Times New Roman"/>
          <w:color w:val="000000" w:themeColor="text1"/>
        </w:rPr>
        <w:t>万元。单项工程量及其经费估算汇总表，详见表6-5。</w:t>
      </w:r>
    </w:p>
    <w:p w14:paraId="4D26E81A">
      <w:pPr>
        <w:pStyle w:val="178"/>
        <w:topLinePunct/>
        <w:rPr>
          <w:rFonts w:ascii="Times New Roman" w:hAnsi="Times New Roman" w:cs="Times New Roman"/>
          <w:color w:val="000000" w:themeColor="text1"/>
        </w:rPr>
      </w:pPr>
    </w:p>
    <w:p w14:paraId="15AC98A0">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表6-5 单项工程量及其经费估算汇总表</w:t>
      </w:r>
    </w:p>
    <w:tbl>
      <w:tblPr>
        <w:tblStyle w:val="42"/>
        <w:tblW w:w="5097" w:type="pct"/>
        <w:tblInd w:w="0" w:type="dxa"/>
        <w:tblLayout w:type="fixed"/>
        <w:tblCellMar>
          <w:top w:w="0" w:type="dxa"/>
          <w:left w:w="0" w:type="dxa"/>
          <w:bottom w:w="0" w:type="dxa"/>
          <w:right w:w="0" w:type="dxa"/>
        </w:tblCellMar>
      </w:tblPr>
      <w:tblGrid>
        <w:gridCol w:w="922"/>
        <w:gridCol w:w="1511"/>
        <w:gridCol w:w="2339"/>
        <w:gridCol w:w="785"/>
        <w:gridCol w:w="1158"/>
        <w:gridCol w:w="1190"/>
        <w:gridCol w:w="1373"/>
      </w:tblGrid>
      <w:tr w14:paraId="4ED5326B">
        <w:tblPrEx>
          <w:tblCellMar>
            <w:top w:w="0" w:type="dxa"/>
            <w:left w:w="0" w:type="dxa"/>
            <w:bottom w:w="0" w:type="dxa"/>
            <w:right w:w="0" w:type="dxa"/>
          </w:tblCellMar>
        </w:tblPrEx>
        <w:trPr>
          <w:trHeight w:val="23" w:hRule="atLeast"/>
          <w:tblHeader/>
        </w:trPr>
        <w:tc>
          <w:tcPr>
            <w:tcW w:w="919" w:type="dxa"/>
            <w:tcBorders>
              <w:top w:val="single" w:color="000000" w:sz="12" w:space="0"/>
              <w:left w:val="single" w:color="000000" w:sz="12" w:space="0"/>
              <w:bottom w:val="single" w:color="000000" w:sz="4" w:space="0"/>
              <w:right w:val="single" w:color="000000" w:sz="4" w:space="0"/>
            </w:tcBorders>
            <w:vAlign w:val="center"/>
          </w:tcPr>
          <w:p w14:paraId="1C31DB2A">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序号</w:t>
            </w:r>
          </w:p>
        </w:tc>
        <w:tc>
          <w:tcPr>
            <w:tcW w:w="1506" w:type="dxa"/>
            <w:tcBorders>
              <w:top w:val="single" w:color="000000" w:sz="12" w:space="0"/>
              <w:left w:val="single" w:color="000000" w:sz="4" w:space="0"/>
              <w:bottom w:val="single" w:color="000000" w:sz="4" w:space="0"/>
              <w:right w:val="single" w:color="000000" w:sz="4" w:space="0"/>
            </w:tcBorders>
            <w:vAlign w:val="center"/>
          </w:tcPr>
          <w:p w14:paraId="71EBE1C5">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定额编号</w:t>
            </w:r>
          </w:p>
        </w:tc>
        <w:tc>
          <w:tcPr>
            <w:tcW w:w="2331" w:type="dxa"/>
            <w:tcBorders>
              <w:top w:val="single" w:color="000000" w:sz="12" w:space="0"/>
              <w:left w:val="single" w:color="000000" w:sz="4" w:space="0"/>
              <w:bottom w:val="single" w:color="000000" w:sz="4" w:space="0"/>
              <w:right w:val="single" w:color="000000" w:sz="4" w:space="0"/>
            </w:tcBorders>
            <w:vAlign w:val="center"/>
          </w:tcPr>
          <w:p w14:paraId="6F9EF088">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工程名称</w:t>
            </w:r>
          </w:p>
        </w:tc>
        <w:tc>
          <w:tcPr>
            <w:tcW w:w="782" w:type="dxa"/>
            <w:tcBorders>
              <w:top w:val="single" w:color="000000" w:sz="12" w:space="0"/>
              <w:left w:val="single" w:color="000000" w:sz="4" w:space="0"/>
              <w:bottom w:val="single" w:color="000000" w:sz="4" w:space="0"/>
              <w:right w:val="single" w:color="000000" w:sz="4" w:space="0"/>
            </w:tcBorders>
            <w:vAlign w:val="center"/>
          </w:tcPr>
          <w:p w14:paraId="7B1AA190">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计算单位</w:t>
            </w:r>
          </w:p>
        </w:tc>
        <w:tc>
          <w:tcPr>
            <w:tcW w:w="1154" w:type="dxa"/>
            <w:tcBorders>
              <w:top w:val="single" w:color="000000" w:sz="12" w:space="0"/>
              <w:left w:val="single" w:color="000000" w:sz="4" w:space="0"/>
              <w:bottom w:val="single" w:color="000000" w:sz="4" w:space="0"/>
              <w:right w:val="single" w:color="000000" w:sz="4" w:space="0"/>
            </w:tcBorders>
            <w:vAlign w:val="center"/>
          </w:tcPr>
          <w:p w14:paraId="0A9D805C">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工程量</w:t>
            </w:r>
          </w:p>
        </w:tc>
        <w:tc>
          <w:tcPr>
            <w:tcW w:w="1186" w:type="dxa"/>
            <w:tcBorders>
              <w:top w:val="single" w:color="000000" w:sz="12" w:space="0"/>
              <w:left w:val="single" w:color="000000" w:sz="4" w:space="0"/>
              <w:bottom w:val="single" w:color="000000" w:sz="4" w:space="0"/>
              <w:right w:val="single" w:color="000000" w:sz="4" w:space="0"/>
            </w:tcBorders>
            <w:vAlign w:val="center"/>
          </w:tcPr>
          <w:p w14:paraId="3EBD2D5C">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综合单价（元）</w:t>
            </w:r>
          </w:p>
        </w:tc>
        <w:tc>
          <w:tcPr>
            <w:tcW w:w="1368" w:type="dxa"/>
            <w:tcBorders>
              <w:top w:val="single" w:color="000000" w:sz="12" w:space="0"/>
              <w:left w:val="single" w:color="000000" w:sz="4" w:space="0"/>
              <w:bottom w:val="single" w:color="000000" w:sz="4" w:space="0"/>
              <w:right w:val="single" w:color="000000" w:sz="12" w:space="0"/>
            </w:tcBorders>
            <w:vAlign w:val="center"/>
          </w:tcPr>
          <w:p w14:paraId="5F13374B">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合计</w:t>
            </w:r>
          </w:p>
          <w:p w14:paraId="117DC735">
            <w:pPr>
              <w:widowControl/>
              <w:topLinePunct/>
              <w:snapToGrid w:val="0"/>
              <w:spacing w:line="24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（万元）</w:t>
            </w:r>
          </w:p>
        </w:tc>
      </w:tr>
      <w:tr w14:paraId="132A19F4">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509EA37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1506" w:type="dxa"/>
            <w:tcBorders>
              <w:top w:val="single" w:color="000000" w:sz="4" w:space="0"/>
              <w:left w:val="single" w:color="000000" w:sz="4" w:space="0"/>
              <w:bottom w:val="single" w:color="000000" w:sz="4" w:space="0"/>
              <w:right w:val="single" w:color="000000" w:sz="4" w:space="0"/>
            </w:tcBorders>
            <w:vAlign w:val="center"/>
          </w:tcPr>
          <w:p w14:paraId="1A7A818B">
            <w:pPr>
              <w:adjustRightInd w:val="0"/>
              <w:snapToGrid w:val="0"/>
              <w:spacing w:line="240" w:lineRule="auto"/>
              <w:jc w:val="center"/>
              <w:rPr>
                <w:rFonts w:ascii="Times New Roman" w:hAnsi="Times New Roman" w:cs="Times New Roman"/>
                <w:color w:val="000000" w:themeColor="text1"/>
                <w:kern w:val="0"/>
                <w:sz w:val="24"/>
                <w:szCs w:val="24"/>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7B09D41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表土剥离与植被移植利用</w:t>
            </w:r>
          </w:p>
        </w:tc>
        <w:tc>
          <w:tcPr>
            <w:tcW w:w="782" w:type="dxa"/>
            <w:tcBorders>
              <w:top w:val="single" w:color="000000" w:sz="4" w:space="0"/>
              <w:left w:val="single" w:color="000000" w:sz="4" w:space="0"/>
              <w:bottom w:val="single" w:color="000000" w:sz="4" w:space="0"/>
              <w:right w:val="single" w:color="000000" w:sz="4" w:space="0"/>
            </w:tcBorders>
            <w:vAlign w:val="center"/>
          </w:tcPr>
          <w:p w14:paraId="503B67C2">
            <w:pPr>
              <w:adjustRightInd w:val="0"/>
              <w:snapToGrid w:val="0"/>
              <w:spacing w:line="240" w:lineRule="auto"/>
              <w:jc w:val="center"/>
              <w:rPr>
                <w:rFonts w:ascii="Times New Roman" w:hAnsi="Times New Roman" w:cs="Times New Roman"/>
                <w:color w:val="000000" w:themeColor="text1"/>
                <w:kern w:val="0"/>
                <w:sz w:val="24"/>
                <w:szCs w:val="24"/>
              </w:rPr>
            </w:pPr>
          </w:p>
        </w:tc>
        <w:tc>
          <w:tcPr>
            <w:tcW w:w="1154" w:type="dxa"/>
            <w:tcBorders>
              <w:top w:val="single" w:color="000000" w:sz="4" w:space="0"/>
              <w:left w:val="single" w:color="000000" w:sz="4" w:space="0"/>
              <w:bottom w:val="single" w:color="000000" w:sz="4" w:space="0"/>
              <w:right w:val="single" w:color="000000" w:sz="4" w:space="0"/>
            </w:tcBorders>
            <w:vAlign w:val="center"/>
          </w:tcPr>
          <w:p w14:paraId="6BF3FCF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2E083468">
            <w:pPr>
              <w:widowControl/>
              <w:topLinePunct/>
              <w:snapToGrid w:val="0"/>
              <w:spacing w:line="240" w:lineRule="auto"/>
              <w:jc w:val="center"/>
              <w:rPr>
                <w:color w:val="000000" w:themeColor="text1"/>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586344AC">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12.79 </w:t>
            </w:r>
          </w:p>
        </w:tc>
      </w:tr>
      <w:tr w14:paraId="2C28338C">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1C2949ED">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506" w:type="dxa"/>
            <w:tcBorders>
              <w:top w:val="single" w:color="000000" w:sz="4" w:space="0"/>
              <w:left w:val="single" w:color="000000" w:sz="4" w:space="0"/>
              <w:bottom w:val="single" w:color="000000" w:sz="4" w:space="0"/>
              <w:right w:val="single" w:color="000000" w:sz="4" w:space="0"/>
            </w:tcBorders>
            <w:vAlign w:val="center"/>
          </w:tcPr>
          <w:p w14:paraId="5DBF75CB">
            <w:pPr>
              <w:adjustRightInd w:val="0"/>
              <w:snapToGrid w:val="0"/>
              <w:spacing w:line="240" w:lineRule="auto"/>
              <w:jc w:val="center"/>
              <w:rPr>
                <w:rFonts w:ascii="Times New Roman" w:hAnsi="Times New Roman" w:cs="Times New Roman"/>
                <w:color w:val="000000" w:themeColor="text1"/>
                <w:kern w:val="0"/>
                <w:sz w:val="24"/>
                <w:szCs w:val="24"/>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49A4F7C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表土剥离工程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2360CF2B">
            <w:pPr>
              <w:adjustRightInd w:val="0"/>
              <w:snapToGrid w:val="0"/>
              <w:spacing w:line="240" w:lineRule="auto"/>
              <w:jc w:val="center"/>
              <w:rPr>
                <w:rFonts w:ascii="Times New Roman" w:hAnsi="Times New Roman" w:cs="Times New Roman"/>
                <w:color w:val="000000" w:themeColor="text1"/>
                <w:kern w:val="0"/>
                <w:sz w:val="24"/>
                <w:szCs w:val="24"/>
              </w:rPr>
            </w:pPr>
          </w:p>
        </w:tc>
        <w:tc>
          <w:tcPr>
            <w:tcW w:w="1154" w:type="dxa"/>
            <w:tcBorders>
              <w:top w:val="single" w:color="000000" w:sz="4" w:space="0"/>
              <w:left w:val="single" w:color="000000" w:sz="4" w:space="0"/>
              <w:bottom w:val="single" w:color="000000" w:sz="4" w:space="0"/>
              <w:right w:val="single" w:color="000000" w:sz="4" w:space="0"/>
            </w:tcBorders>
            <w:vAlign w:val="center"/>
          </w:tcPr>
          <w:p w14:paraId="338A469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6D18DD6E">
            <w:pPr>
              <w:widowControl/>
              <w:topLinePunct/>
              <w:snapToGrid w:val="0"/>
              <w:spacing w:line="240" w:lineRule="auto"/>
              <w:jc w:val="center"/>
              <w:rPr>
                <w:color w:val="000000" w:themeColor="text1"/>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2B662566">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1.10 </w:t>
            </w:r>
          </w:p>
        </w:tc>
      </w:tr>
      <w:tr w14:paraId="7BC95760">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7448219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506" w:type="dxa"/>
            <w:tcBorders>
              <w:top w:val="single" w:color="000000" w:sz="4" w:space="0"/>
              <w:left w:val="single" w:color="000000" w:sz="4" w:space="0"/>
              <w:bottom w:val="single" w:color="000000" w:sz="4" w:space="0"/>
              <w:right w:val="single" w:color="000000" w:sz="4" w:space="0"/>
            </w:tcBorders>
            <w:vAlign w:val="center"/>
          </w:tcPr>
          <w:p w14:paraId="5FB21C0F">
            <w:pPr>
              <w:widowControl/>
              <w:topLinePunct/>
              <w:snapToGrid w:val="0"/>
              <w:spacing w:line="240" w:lineRule="auto"/>
              <w:jc w:val="center"/>
              <w:textAlignment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1-182</w:t>
            </w:r>
          </w:p>
        </w:tc>
        <w:tc>
          <w:tcPr>
            <w:tcW w:w="2331" w:type="dxa"/>
            <w:tcBorders>
              <w:top w:val="single" w:color="000000" w:sz="4" w:space="0"/>
              <w:left w:val="single" w:color="000000" w:sz="4" w:space="0"/>
              <w:bottom w:val="single" w:color="000000" w:sz="4" w:space="0"/>
              <w:right w:val="single" w:color="000000" w:sz="4" w:space="0"/>
            </w:tcBorders>
            <w:vAlign w:val="center"/>
          </w:tcPr>
          <w:p w14:paraId="37283748">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表土剥离</w:t>
            </w:r>
          </w:p>
        </w:tc>
        <w:tc>
          <w:tcPr>
            <w:tcW w:w="782" w:type="dxa"/>
            <w:tcBorders>
              <w:top w:val="single" w:color="000000" w:sz="4" w:space="0"/>
              <w:left w:val="single" w:color="000000" w:sz="4" w:space="0"/>
              <w:bottom w:val="single" w:color="000000" w:sz="4" w:space="0"/>
              <w:right w:val="single" w:color="000000" w:sz="4" w:space="0"/>
            </w:tcBorders>
            <w:vAlign w:val="center"/>
          </w:tcPr>
          <w:p w14:paraId="118AAEEA">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center"/>
          </w:tcPr>
          <w:p w14:paraId="52F363E2">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2700</w:t>
            </w:r>
          </w:p>
        </w:tc>
        <w:tc>
          <w:tcPr>
            <w:tcW w:w="1186" w:type="dxa"/>
            <w:tcBorders>
              <w:top w:val="single" w:color="000000" w:sz="4" w:space="0"/>
              <w:left w:val="single" w:color="000000" w:sz="4" w:space="0"/>
              <w:bottom w:val="single" w:color="000000" w:sz="4" w:space="0"/>
              <w:right w:val="single" w:color="000000" w:sz="4" w:space="0"/>
            </w:tcBorders>
            <w:vAlign w:val="center"/>
          </w:tcPr>
          <w:p w14:paraId="01FBC849">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4.06</w:t>
            </w:r>
          </w:p>
        </w:tc>
        <w:tc>
          <w:tcPr>
            <w:tcW w:w="1368" w:type="dxa"/>
            <w:tcBorders>
              <w:top w:val="single" w:color="000000" w:sz="4" w:space="0"/>
              <w:left w:val="single" w:color="000000" w:sz="4" w:space="0"/>
              <w:bottom w:val="single" w:color="000000" w:sz="4" w:space="0"/>
              <w:right w:val="single" w:color="000000" w:sz="12" w:space="0"/>
            </w:tcBorders>
            <w:vAlign w:val="center"/>
          </w:tcPr>
          <w:p w14:paraId="0A60CE8D">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1.10 </w:t>
            </w:r>
          </w:p>
        </w:tc>
      </w:tr>
      <w:tr w14:paraId="416A4010">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2178645C">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506" w:type="dxa"/>
            <w:tcBorders>
              <w:top w:val="single" w:color="000000" w:sz="4" w:space="0"/>
              <w:left w:val="single" w:color="000000" w:sz="4" w:space="0"/>
              <w:bottom w:val="single" w:color="000000" w:sz="4" w:space="0"/>
              <w:right w:val="single" w:color="000000" w:sz="4" w:space="0"/>
            </w:tcBorders>
            <w:vAlign w:val="center"/>
          </w:tcPr>
          <w:p w14:paraId="7AB4A98B">
            <w:pPr>
              <w:adjustRightInd w:val="0"/>
              <w:snapToGrid w:val="0"/>
              <w:spacing w:line="240" w:lineRule="auto"/>
              <w:jc w:val="center"/>
              <w:rPr>
                <w:rFonts w:ascii="Times New Roman" w:hAnsi="Times New Roman" w:cs="Times New Roman"/>
                <w:color w:val="000000" w:themeColor="text1"/>
                <w:kern w:val="0"/>
                <w:sz w:val="24"/>
                <w:szCs w:val="24"/>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56887A0C">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表土管护工程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05E6F384">
            <w:pPr>
              <w:adjustRightInd w:val="0"/>
              <w:snapToGrid w:val="0"/>
              <w:spacing w:line="240" w:lineRule="auto"/>
              <w:jc w:val="center"/>
              <w:rPr>
                <w:rFonts w:ascii="Times New Roman" w:hAnsi="Times New Roman" w:cs="Times New Roman"/>
                <w:color w:val="000000" w:themeColor="text1"/>
                <w:kern w:val="0"/>
                <w:sz w:val="24"/>
                <w:szCs w:val="24"/>
              </w:rPr>
            </w:pPr>
          </w:p>
        </w:tc>
        <w:tc>
          <w:tcPr>
            <w:tcW w:w="1154" w:type="dxa"/>
            <w:tcBorders>
              <w:top w:val="single" w:color="000000" w:sz="4" w:space="0"/>
              <w:left w:val="single" w:color="000000" w:sz="4" w:space="0"/>
              <w:bottom w:val="single" w:color="000000" w:sz="4" w:space="0"/>
              <w:right w:val="single" w:color="000000" w:sz="4" w:space="0"/>
            </w:tcBorders>
            <w:vAlign w:val="center"/>
          </w:tcPr>
          <w:p w14:paraId="1B33C7F0">
            <w:pPr>
              <w:widowControl/>
              <w:topLinePunct/>
              <w:snapToGrid w:val="0"/>
              <w:spacing w:line="240" w:lineRule="auto"/>
              <w:jc w:val="center"/>
              <w:rPr>
                <w:color w:val="000000" w:themeColor="text1"/>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0D8E61AB">
            <w:pPr>
              <w:widowControl/>
              <w:topLinePunct/>
              <w:snapToGrid w:val="0"/>
              <w:spacing w:line="240" w:lineRule="auto"/>
              <w:jc w:val="center"/>
              <w:rPr>
                <w:color w:val="000000" w:themeColor="text1"/>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3AD0CFFD">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11.69 </w:t>
            </w:r>
          </w:p>
        </w:tc>
      </w:tr>
      <w:tr w14:paraId="326A8F51">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3B33B461">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506" w:type="dxa"/>
            <w:tcBorders>
              <w:top w:val="single" w:color="000000" w:sz="4" w:space="0"/>
              <w:left w:val="single" w:color="000000" w:sz="4" w:space="0"/>
              <w:bottom w:val="single" w:color="000000" w:sz="4" w:space="0"/>
              <w:right w:val="single" w:color="000000" w:sz="4" w:space="0"/>
            </w:tcBorders>
            <w:vAlign w:val="center"/>
          </w:tcPr>
          <w:p w14:paraId="24E8EAF4">
            <w:pPr>
              <w:widowControl/>
              <w:topLinePunct/>
              <w:spacing w:line="240" w:lineRule="auto"/>
              <w:jc w:val="center"/>
              <w:textAlignment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9-030</w:t>
            </w:r>
          </w:p>
        </w:tc>
        <w:tc>
          <w:tcPr>
            <w:tcW w:w="2331" w:type="dxa"/>
            <w:tcBorders>
              <w:top w:val="single" w:color="000000" w:sz="4" w:space="0"/>
              <w:left w:val="single" w:color="000000" w:sz="4" w:space="0"/>
              <w:bottom w:val="single" w:color="000000" w:sz="4" w:space="0"/>
              <w:right w:val="single" w:color="000000" w:sz="4" w:space="0"/>
            </w:tcBorders>
            <w:vAlign w:val="center"/>
          </w:tcPr>
          <w:p w14:paraId="3271960B">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撒播种草</w:t>
            </w:r>
          </w:p>
        </w:tc>
        <w:tc>
          <w:tcPr>
            <w:tcW w:w="782" w:type="dxa"/>
            <w:tcBorders>
              <w:top w:val="single" w:color="000000" w:sz="4" w:space="0"/>
              <w:left w:val="single" w:color="000000" w:sz="4" w:space="0"/>
              <w:bottom w:val="single" w:color="000000" w:sz="4" w:space="0"/>
              <w:right w:val="single" w:color="000000" w:sz="4" w:space="0"/>
            </w:tcBorders>
            <w:vAlign w:val="center"/>
          </w:tcPr>
          <w:p w14:paraId="364461C2">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p>
        </w:tc>
        <w:tc>
          <w:tcPr>
            <w:tcW w:w="1154" w:type="dxa"/>
            <w:tcBorders>
              <w:top w:val="single" w:color="000000" w:sz="4" w:space="0"/>
              <w:left w:val="single" w:color="000000" w:sz="4" w:space="0"/>
              <w:bottom w:val="single" w:color="000000" w:sz="4" w:space="0"/>
              <w:right w:val="single" w:color="000000" w:sz="4" w:space="0"/>
            </w:tcBorders>
            <w:vAlign w:val="center"/>
          </w:tcPr>
          <w:p w14:paraId="363F3482">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0.13</w:t>
            </w:r>
          </w:p>
        </w:tc>
        <w:tc>
          <w:tcPr>
            <w:tcW w:w="1186" w:type="dxa"/>
            <w:tcBorders>
              <w:top w:val="single" w:color="000000" w:sz="4" w:space="0"/>
              <w:left w:val="single" w:color="000000" w:sz="4" w:space="0"/>
              <w:bottom w:val="single" w:color="000000" w:sz="4" w:space="0"/>
              <w:right w:val="single" w:color="000000" w:sz="4" w:space="0"/>
            </w:tcBorders>
            <w:vAlign w:val="center"/>
          </w:tcPr>
          <w:p w14:paraId="452C5A92">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 xml:space="preserve">3668.06 </w:t>
            </w:r>
          </w:p>
        </w:tc>
        <w:tc>
          <w:tcPr>
            <w:tcW w:w="1368" w:type="dxa"/>
            <w:tcBorders>
              <w:top w:val="single" w:color="000000" w:sz="4" w:space="0"/>
              <w:left w:val="single" w:color="000000" w:sz="4" w:space="0"/>
              <w:bottom w:val="single" w:color="000000" w:sz="4" w:space="0"/>
              <w:right w:val="single" w:color="000000" w:sz="12" w:space="0"/>
            </w:tcBorders>
            <w:vAlign w:val="center"/>
          </w:tcPr>
          <w:p w14:paraId="2AD5775C">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0.05 </w:t>
            </w:r>
          </w:p>
        </w:tc>
      </w:tr>
      <w:tr w14:paraId="18F054CE">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0BC7BE18">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506" w:type="dxa"/>
            <w:tcBorders>
              <w:top w:val="single" w:color="000000" w:sz="4" w:space="0"/>
              <w:left w:val="single" w:color="000000" w:sz="4" w:space="0"/>
              <w:bottom w:val="single" w:color="000000" w:sz="4" w:space="0"/>
              <w:right w:val="single" w:color="000000" w:sz="4" w:space="0"/>
            </w:tcBorders>
            <w:vAlign w:val="center"/>
          </w:tcPr>
          <w:p w14:paraId="7A519E6D">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1-283</w:t>
            </w:r>
          </w:p>
        </w:tc>
        <w:tc>
          <w:tcPr>
            <w:tcW w:w="2331" w:type="dxa"/>
            <w:tcBorders>
              <w:top w:val="single" w:color="000000" w:sz="4" w:space="0"/>
              <w:left w:val="single" w:color="000000" w:sz="4" w:space="0"/>
              <w:bottom w:val="single" w:color="000000" w:sz="4" w:space="0"/>
              <w:right w:val="single" w:color="000000" w:sz="4" w:space="0"/>
            </w:tcBorders>
            <w:vAlign w:val="center"/>
          </w:tcPr>
          <w:p w14:paraId="12CB58B8">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石笼挡墙土方开挖</w:t>
            </w:r>
          </w:p>
        </w:tc>
        <w:tc>
          <w:tcPr>
            <w:tcW w:w="782" w:type="dxa"/>
            <w:tcBorders>
              <w:top w:val="single" w:color="000000" w:sz="4" w:space="0"/>
              <w:left w:val="single" w:color="000000" w:sz="4" w:space="0"/>
              <w:bottom w:val="single" w:color="000000" w:sz="4" w:space="0"/>
              <w:right w:val="single" w:color="000000" w:sz="4" w:space="0"/>
            </w:tcBorders>
            <w:vAlign w:val="center"/>
          </w:tcPr>
          <w:p w14:paraId="0629F0D3">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center"/>
          </w:tcPr>
          <w:p w14:paraId="09FB5192">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105</w:t>
            </w:r>
          </w:p>
        </w:tc>
        <w:tc>
          <w:tcPr>
            <w:tcW w:w="1186" w:type="dxa"/>
            <w:tcBorders>
              <w:top w:val="single" w:color="000000" w:sz="4" w:space="0"/>
              <w:left w:val="single" w:color="000000" w:sz="4" w:space="0"/>
              <w:bottom w:val="single" w:color="000000" w:sz="4" w:space="0"/>
              <w:right w:val="single" w:color="000000" w:sz="4" w:space="0"/>
            </w:tcBorders>
            <w:vAlign w:val="center"/>
          </w:tcPr>
          <w:p w14:paraId="07FAB0EC">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2.64</w:t>
            </w:r>
          </w:p>
        </w:tc>
        <w:tc>
          <w:tcPr>
            <w:tcW w:w="1368" w:type="dxa"/>
            <w:tcBorders>
              <w:top w:val="single" w:color="000000" w:sz="4" w:space="0"/>
              <w:left w:val="single" w:color="000000" w:sz="4" w:space="0"/>
              <w:bottom w:val="single" w:color="000000" w:sz="4" w:space="0"/>
              <w:right w:val="single" w:color="000000" w:sz="12" w:space="0"/>
            </w:tcBorders>
            <w:vAlign w:val="center"/>
          </w:tcPr>
          <w:p w14:paraId="0D3A6A35">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0.03 </w:t>
            </w:r>
          </w:p>
        </w:tc>
      </w:tr>
      <w:tr w14:paraId="7AA1F8E6">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5EE18D95">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1506" w:type="dxa"/>
            <w:tcBorders>
              <w:top w:val="single" w:color="000000" w:sz="4" w:space="0"/>
              <w:left w:val="single" w:color="000000" w:sz="4" w:space="0"/>
              <w:bottom w:val="single" w:color="000000" w:sz="4" w:space="0"/>
              <w:right w:val="single" w:color="000000" w:sz="4" w:space="0"/>
            </w:tcBorders>
            <w:vAlign w:val="center"/>
          </w:tcPr>
          <w:p w14:paraId="60B562C5">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3-066</w:t>
            </w:r>
          </w:p>
        </w:tc>
        <w:tc>
          <w:tcPr>
            <w:tcW w:w="2331" w:type="dxa"/>
            <w:tcBorders>
              <w:top w:val="single" w:color="000000" w:sz="4" w:space="0"/>
              <w:left w:val="single" w:color="000000" w:sz="4" w:space="0"/>
              <w:bottom w:val="single" w:color="000000" w:sz="4" w:space="0"/>
              <w:right w:val="single" w:color="000000" w:sz="4" w:space="0"/>
            </w:tcBorders>
            <w:vAlign w:val="center"/>
          </w:tcPr>
          <w:p w14:paraId="42D29D4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石笼挡墙体积</w:t>
            </w:r>
          </w:p>
        </w:tc>
        <w:tc>
          <w:tcPr>
            <w:tcW w:w="782" w:type="dxa"/>
            <w:tcBorders>
              <w:top w:val="single" w:color="000000" w:sz="4" w:space="0"/>
              <w:left w:val="single" w:color="000000" w:sz="4" w:space="0"/>
              <w:bottom w:val="single" w:color="000000" w:sz="4" w:space="0"/>
              <w:right w:val="single" w:color="000000" w:sz="4" w:space="0"/>
            </w:tcBorders>
            <w:vAlign w:val="center"/>
          </w:tcPr>
          <w:p w14:paraId="0ADFDB6B">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center"/>
          </w:tcPr>
          <w:p w14:paraId="3C9AFF2A">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455</w:t>
            </w:r>
          </w:p>
        </w:tc>
        <w:tc>
          <w:tcPr>
            <w:tcW w:w="1186" w:type="dxa"/>
            <w:tcBorders>
              <w:top w:val="single" w:color="000000" w:sz="4" w:space="0"/>
              <w:left w:val="single" w:color="000000" w:sz="4" w:space="0"/>
              <w:bottom w:val="single" w:color="000000" w:sz="4" w:space="0"/>
              <w:right w:val="single" w:color="000000" w:sz="4" w:space="0"/>
            </w:tcBorders>
            <w:vAlign w:val="center"/>
          </w:tcPr>
          <w:p w14:paraId="70D13E8E">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255.37</w:t>
            </w:r>
          </w:p>
        </w:tc>
        <w:tc>
          <w:tcPr>
            <w:tcW w:w="1368" w:type="dxa"/>
            <w:tcBorders>
              <w:top w:val="single" w:color="000000" w:sz="4" w:space="0"/>
              <w:left w:val="single" w:color="000000" w:sz="4" w:space="0"/>
              <w:bottom w:val="single" w:color="000000" w:sz="4" w:space="0"/>
              <w:right w:val="single" w:color="000000" w:sz="12" w:space="0"/>
            </w:tcBorders>
            <w:vAlign w:val="center"/>
          </w:tcPr>
          <w:p w14:paraId="33DAAFC8">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11.62 </w:t>
            </w:r>
          </w:p>
        </w:tc>
      </w:tr>
      <w:tr w14:paraId="288D16D2">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2B6BE94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1506" w:type="dxa"/>
            <w:tcBorders>
              <w:top w:val="single" w:color="000000" w:sz="4" w:space="0"/>
              <w:left w:val="single" w:color="000000" w:sz="4" w:space="0"/>
              <w:bottom w:val="single" w:color="000000" w:sz="4" w:space="0"/>
              <w:right w:val="single" w:color="000000" w:sz="4" w:space="0"/>
            </w:tcBorders>
            <w:vAlign w:val="center"/>
          </w:tcPr>
          <w:p w14:paraId="1EEB8ED1">
            <w:pPr>
              <w:adjustRightInd w:val="0"/>
              <w:snapToGrid w:val="0"/>
              <w:spacing w:line="240" w:lineRule="auto"/>
              <w:jc w:val="center"/>
              <w:rPr>
                <w:rFonts w:ascii="Times New Roman" w:hAnsi="Times New Roman" w:cs="Times New Roman"/>
                <w:color w:val="000000" w:themeColor="text1"/>
                <w:kern w:val="0"/>
                <w:sz w:val="24"/>
                <w:szCs w:val="24"/>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5C18DA9D">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地貌重塑工程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00C09AE4">
            <w:pPr>
              <w:adjustRightInd w:val="0"/>
              <w:snapToGrid w:val="0"/>
              <w:spacing w:line="240" w:lineRule="auto"/>
              <w:jc w:val="center"/>
              <w:rPr>
                <w:rFonts w:ascii="Times New Roman" w:hAnsi="Times New Roman" w:cs="Times New Roman"/>
                <w:color w:val="000000" w:themeColor="text1"/>
                <w:kern w:val="0"/>
                <w:sz w:val="24"/>
                <w:szCs w:val="24"/>
              </w:rPr>
            </w:pPr>
          </w:p>
        </w:tc>
        <w:tc>
          <w:tcPr>
            <w:tcW w:w="1154" w:type="dxa"/>
            <w:tcBorders>
              <w:top w:val="single" w:color="000000" w:sz="4" w:space="0"/>
              <w:left w:val="single" w:color="000000" w:sz="4" w:space="0"/>
              <w:bottom w:val="single" w:color="000000" w:sz="4" w:space="0"/>
              <w:right w:val="single" w:color="000000" w:sz="4" w:space="0"/>
            </w:tcBorders>
            <w:vAlign w:val="center"/>
          </w:tcPr>
          <w:p w14:paraId="6E9EB35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32B6F2DC">
            <w:pPr>
              <w:widowControl/>
              <w:topLinePunct/>
              <w:snapToGrid w:val="0"/>
              <w:spacing w:line="240" w:lineRule="auto"/>
              <w:jc w:val="center"/>
              <w:rPr>
                <w:color w:val="000000" w:themeColor="text1"/>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69A1DCE4">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7.16 </w:t>
            </w:r>
          </w:p>
        </w:tc>
      </w:tr>
      <w:tr w14:paraId="26053A12">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7B55A15C">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506" w:type="dxa"/>
            <w:tcBorders>
              <w:top w:val="single" w:color="000000" w:sz="4" w:space="0"/>
              <w:left w:val="single" w:color="000000" w:sz="4" w:space="0"/>
              <w:bottom w:val="single" w:color="000000" w:sz="4" w:space="0"/>
              <w:right w:val="single" w:color="000000" w:sz="4" w:space="0"/>
            </w:tcBorders>
            <w:vAlign w:val="center"/>
          </w:tcPr>
          <w:p w14:paraId="1720BCDD">
            <w:pPr>
              <w:adjustRightInd w:val="0"/>
              <w:snapToGrid w:val="0"/>
              <w:spacing w:line="240" w:lineRule="auto"/>
              <w:jc w:val="center"/>
              <w:rPr>
                <w:rFonts w:ascii="Times New Roman" w:hAnsi="Times New Roman" w:cs="Times New Roman"/>
                <w:color w:val="000000" w:themeColor="text1"/>
                <w:kern w:val="0"/>
                <w:sz w:val="24"/>
                <w:szCs w:val="24"/>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21D3D4C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露天采场、排土场治理工程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47C50D70">
            <w:pPr>
              <w:adjustRightInd w:val="0"/>
              <w:snapToGrid w:val="0"/>
              <w:spacing w:line="240" w:lineRule="auto"/>
              <w:jc w:val="center"/>
              <w:rPr>
                <w:rFonts w:ascii="Times New Roman" w:hAnsi="Times New Roman" w:cs="Times New Roman"/>
                <w:color w:val="000000" w:themeColor="text1"/>
                <w:kern w:val="0"/>
                <w:sz w:val="24"/>
                <w:szCs w:val="24"/>
              </w:rPr>
            </w:pPr>
          </w:p>
        </w:tc>
        <w:tc>
          <w:tcPr>
            <w:tcW w:w="1154" w:type="dxa"/>
            <w:tcBorders>
              <w:top w:val="single" w:color="000000" w:sz="4" w:space="0"/>
              <w:left w:val="single" w:color="000000" w:sz="4" w:space="0"/>
              <w:bottom w:val="single" w:color="000000" w:sz="4" w:space="0"/>
              <w:right w:val="single" w:color="000000" w:sz="4" w:space="0"/>
            </w:tcBorders>
            <w:vAlign w:val="center"/>
          </w:tcPr>
          <w:p w14:paraId="56557E0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4E4EDEA6">
            <w:pPr>
              <w:widowControl/>
              <w:topLinePunct/>
              <w:snapToGrid w:val="0"/>
              <w:spacing w:line="240" w:lineRule="auto"/>
              <w:jc w:val="center"/>
              <w:rPr>
                <w:color w:val="000000" w:themeColor="text1"/>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29410626">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7.16 </w:t>
            </w:r>
          </w:p>
        </w:tc>
      </w:tr>
      <w:tr w14:paraId="36EEFDE8">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1C2E771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506" w:type="dxa"/>
            <w:tcBorders>
              <w:top w:val="single" w:color="000000" w:sz="4" w:space="0"/>
              <w:left w:val="single" w:color="000000" w:sz="4" w:space="0"/>
              <w:bottom w:val="single" w:color="000000" w:sz="4" w:space="0"/>
              <w:right w:val="single" w:color="000000" w:sz="4" w:space="0"/>
            </w:tcBorders>
            <w:vAlign w:val="center"/>
          </w:tcPr>
          <w:p w14:paraId="0DF21A42">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1-298</w:t>
            </w:r>
          </w:p>
        </w:tc>
        <w:tc>
          <w:tcPr>
            <w:tcW w:w="2331" w:type="dxa"/>
            <w:tcBorders>
              <w:top w:val="single" w:color="000000" w:sz="4" w:space="0"/>
              <w:left w:val="single" w:color="000000" w:sz="4" w:space="0"/>
              <w:bottom w:val="single" w:color="000000" w:sz="4" w:space="0"/>
              <w:right w:val="single" w:color="000000" w:sz="4" w:space="0"/>
            </w:tcBorders>
            <w:vAlign w:val="center"/>
          </w:tcPr>
          <w:p w14:paraId="6034D5BC">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拆除石笼挡墙</w:t>
            </w:r>
          </w:p>
        </w:tc>
        <w:tc>
          <w:tcPr>
            <w:tcW w:w="782" w:type="dxa"/>
            <w:tcBorders>
              <w:top w:val="single" w:color="000000" w:sz="4" w:space="0"/>
              <w:left w:val="single" w:color="000000" w:sz="4" w:space="0"/>
              <w:bottom w:val="single" w:color="000000" w:sz="4" w:space="0"/>
              <w:right w:val="single" w:color="000000" w:sz="4" w:space="0"/>
            </w:tcBorders>
            <w:vAlign w:val="center"/>
          </w:tcPr>
          <w:p w14:paraId="358C11CD">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top"/>
          </w:tcPr>
          <w:p w14:paraId="5D9543DC">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455</w:t>
            </w:r>
          </w:p>
        </w:tc>
        <w:tc>
          <w:tcPr>
            <w:tcW w:w="1186" w:type="dxa"/>
            <w:tcBorders>
              <w:top w:val="single" w:color="000000" w:sz="4" w:space="0"/>
              <w:left w:val="single" w:color="000000" w:sz="4" w:space="0"/>
              <w:bottom w:val="single" w:color="000000" w:sz="4" w:space="0"/>
              <w:right w:val="single" w:color="000000" w:sz="4" w:space="0"/>
            </w:tcBorders>
            <w:vAlign w:val="center"/>
          </w:tcPr>
          <w:p w14:paraId="3BED28C4">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12.04</w:t>
            </w:r>
          </w:p>
        </w:tc>
        <w:tc>
          <w:tcPr>
            <w:tcW w:w="1368" w:type="dxa"/>
            <w:tcBorders>
              <w:top w:val="single" w:color="000000" w:sz="4" w:space="0"/>
              <w:left w:val="single" w:color="000000" w:sz="4" w:space="0"/>
              <w:bottom w:val="single" w:color="000000" w:sz="4" w:space="0"/>
              <w:right w:val="single" w:color="000000" w:sz="12" w:space="0"/>
            </w:tcBorders>
            <w:vAlign w:val="center"/>
          </w:tcPr>
          <w:p w14:paraId="5E9AA546">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0.55 </w:t>
            </w:r>
          </w:p>
        </w:tc>
      </w:tr>
      <w:tr w14:paraId="0BBCC7B7">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60730036">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506" w:type="dxa"/>
            <w:tcBorders>
              <w:top w:val="single" w:color="000000" w:sz="4" w:space="0"/>
              <w:left w:val="single" w:color="000000" w:sz="4" w:space="0"/>
              <w:bottom w:val="single" w:color="000000" w:sz="4" w:space="0"/>
              <w:right w:val="single" w:color="000000" w:sz="4" w:space="0"/>
            </w:tcBorders>
            <w:vAlign w:val="center"/>
          </w:tcPr>
          <w:p w14:paraId="762E51E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2-319</w:t>
            </w:r>
          </w:p>
        </w:tc>
        <w:tc>
          <w:tcPr>
            <w:tcW w:w="2331" w:type="dxa"/>
            <w:tcBorders>
              <w:top w:val="single" w:color="000000" w:sz="4" w:space="0"/>
              <w:left w:val="single" w:color="000000" w:sz="4" w:space="0"/>
              <w:bottom w:val="single" w:color="000000" w:sz="4" w:space="0"/>
              <w:right w:val="single" w:color="000000" w:sz="4" w:space="0"/>
            </w:tcBorders>
            <w:vAlign w:val="center"/>
          </w:tcPr>
          <w:p w14:paraId="3EC6699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运输拆除石笼</w:t>
            </w:r>
          </w:p>
        </w:tc>
        <w:tc>
          <w:tcPr>
            <w:tcW w:w="782" w:type="dxa"/>
            <w:tcBorders>
              <w:top w:val="single" w:color="000000" w:sz="4" w:space="0"/>
              <w:left w:val="single" w:color="000000" w:sz="4" w:space="0"/>
              <w:bottom w:val="single" w:color="000000" w:sz="4" w:space="0"/>
              <w:right w:val="single" w:color="000000" w:sz="4" w:space="0"/>
            </w:tcBorders>
            <w:vAlign w:val="center"/>
          </w:tcPr>
          <w:p w14:paraId="08D01AA0">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top"/>
          </w:tcPr>
          <w:p w14:paraId="34B66CA6">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455</w:t>
            </w:r>
          </w:p>
        </w:tc>
        <w:tc>
          <w:tcPr>
            <w:tcW w:w="1186" w:type="dxa"/>
            <w:tcBorders>
              <w:top w:val="single" w:color="000000" w:sz="4" w:space="0"/>
              <w:left w:val="single" w:color="000000" w:sz="4" w:space="0"/>
              <w:bottom w:val="single" w:color="000000" w:sz="4" w:space="0"/>
              <w:right w:val="single" w:color="000000" w:sz="4" w:space="0"/>
            </w:tcBorders>
            <w:vAlign w:val="center"/>
          </w:tcPr>
          <w:p w14:paraId="708FE821">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33.47</w:t>
            </w:r>
          </w:p>
        </w:tc>
        <w:tc>
          <w:tcPr>
            <w:tcW w:w="1368" w:type="dxa"/>
            <w:tcBorders>
              <w:top w:val="single" w:color="000000" w:sz="4" w:space="0"/>
              <w:left w:val="single" w:color="000000" w:sz="4" w:space="0"/>
              <w:bottom w:val="single" w:color="000000" w:sz="4" w:space="0"/>
              <w:right w:val="single" w:color="000000" w:sz="12" w:space="0"/>
            </w:tcBorders>
            <w:vAlign w:val="center"/>
          </w:tcPr>
          <w:p w14:paraId="545C8E16">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1.52 </w:t>
            </w:r>
          </w:p>
        </w:tc>
      </w:tr>
      <w:tr w14:paraId="1C29C623">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683CD03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1506" w:type="dxa"/>
            <w:tcBorders>
              <w:top w:val="single" w:color="000000" w:sz="4" w:space="0"/>
              <w:left w:val="single" w:color="000000" w:sz="4" w:space="0"/>
              <w:bottom w:val="single" w:color="000000" w:sz="4" w:space="0"/>
              <w:right w:val="single" w:color="000000" w:sz="4" w:space="0"/>
            </w:tcBorders>
            <w:vAlign w:val="center"/>
          </w:tcPr>
          <w:p w14:paraId="465B011D">
            <w:pPr>
              <w:widowControl/>
              <w:topLinePunct/>
              <w:snapToGrid w:val="0"/>
              <w:spacing w:line="240" w:lineRule="auto"/>
              <w:jc w:val="center"/>
              <w:textAlignment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1-182</w:t>
            </w:r>
          </w:p>
        </w:tc>
        <w:tc>
          <w:tcPr>
            <w:tcW w:w="2331" w:type="dxa"/>
            <w:tcBorders>
              <w:top w:val="single" w:color="000000" w:sz="4" w:space="0"/>
              <w:left w:val="single" w:color="000000" w:sz="4" w:space="0"/>
              <w:bottom w:val="single" w:color="000000" w:sz="4" w:space="0"/>
              <w:right w:val="single" w:color="000000" w:sz="4" w:space="0"/>
            </w:tcBorders>
            <w:vAlign w:val="center"/>
          </w:tcPr>
          <w:p w14:paraId="46624A5C">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地面清理平整</w:t>
            </w:r>
          </w:p>
        </w:tc>
        <w:tc>
          <w:tcPr>
            <w:tcW w:w="782" w:type="dxa"/>
            <w:tcBorders>
              <w:top w:val="single" w:color="000000" w:sz="4" w:space="0"/>
              <w:left w:val="single" w:color="000000" w:sz="4" w:space="0"/>
              <w:bottom w:val="single" w:color="000000" w:sz="4" w:space="0"/>
              <w:right w:val="single" w:color="000000" w:sz="4" w:space="0"/>
            </w:tcBorders>
            <w:vAlign w:val="center"/>
          </w:tcPr>
          <w:p w14:paraId="4597AE55">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top"/>
          </w:tcPr>
          <w:p w14:paraId="2950788A">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12540</w:t>
            </w:r>
          </w:p>
        </w:tc>
        <w:tc>
          <w:tcPr>
            <w:tcW w:w="1186" w:type="dxa"/>
            <w:tcBorders>
              <w:top w:val="single" w:color="000000" w:sz="4" w:space="0"/>
              <w:left w:val="single" w:color="000000" w:sz="4" w:space="0"/>
              <w:bottom w:val="single" w:color="000000" w:sz="4" w:space="0"/>
              <w:right w:val="single" w:color="000000" w:sz="4" w:space="0"/>
            </w:tcBorders>
            <w:vAlign w:val="center"/>
          </w:tcPr>
          <w:p w14:paraId="6710BF1E">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4.06</w:t>
            </w:r>
          </w:p>
        </w:tc>
        <w:tc>
          <w:tcPr>
            <w:tcW w:w="1368" w:type="dxa"/>
            <w:tcBorders>
              <w:top w:val="single" w:color="000000" w:sz="4" w:space="0"/>
              <w:left w:val="single" w:color="000000" w:sz="4" w:space="0"/>
              <w:bottom w:val="single" w:color="000000" w:sz="4" w:space="0"/>
              <w:right w:val="single" w:color="000000" w:sz="12" w:space="0"/>
            </w:tcBorders>
            <w:vAlign w:val="center"/>
          </w:tcPr>
          <w:p w14:paraId="058F42D5">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5.09 </w:t>
            </w:r>
          </w:p>
        </w:tc>
      </w:tr>
      <w:tr w14:paraId="08055690">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0EC140BD">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FEF28">
            <w:pPr>
              <w:adjustRightInd w:val="0"/>
              <w:snapToGrid w:val="0"/>
              <w:spacing w:line="240" w:lineRule="auto"/>
              <w:jc w:val="center"/>
              <w:rPr>
                <w:rFonts w:ascii="Times New Roman" w:hAnsi="Times New Roman" w:cs="Times New Roman"/>
                <w:color w:val="000000" w:themeColor="text1"/>
                <w:kern w:val="0"/>
                <w:sz w:val="24"/>
                <w:szCs w:val="24"/>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50DEA450">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土壤重构工程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7DB3FAB2">
            <w:pPr>
              <w:adjustRightInd w:val="0"/>
              <w:snapToGrid w:val="0"/>
              <w:spacing w:line="240" w:lineRule="auto"/>
              <w:jc w:val="center"/>
              <w:rPr>
                <w:rFonts w:ascii="Times New Roman" w:hAnsi="Times New Roman" w:cs="Times New Roman"/>
                <w:color w:val="000000" w:themeColor="text1"/>
                <w:kern w:val="0"/>
                <w:sz w:val="24"/>
                <w:szCs w:val="24"/>
              </w:rPr>
            </w:pPr>
          </w:p>
        </w:tc>
        <w:tc>
          <w:tcPr>
            <w:tcW w:w="1154" w:type="dxa"/>
            <w:tcBorders>
              <w:top w:val="single" w:color="000000" w:sz="4" w:space="0"/>
              <w:left w:val="single" w:color="000000" w:sz="4" w:space="0"/>
              <w:bottom w:val="single" w:color="000000" w:sz="4" w:space="0"/>
              <w:right w:val="single" w:color="000000" w:sz="4" w:space="0"/>
            </w:tcBorders>
            <w:vAlign w:val="center"/>
          </w:tcPr>
          <w:p w14:paraId="05AA584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6A07202E">
            <w:pPr>
              <w:widowControl/>
              <w:topLinePunct/>
              <w:snapToGrid w:val="0"/>
              <w:spacing w:line="240" w:lineRule="auto"/>
              <w:jc w:val="center"/>
              <w:rPr>
                <w:color w:val="000000" w:themeColor="text1"/>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27534B1A">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3.78 </w:t>
            </w:r>
          </w:p>
        </w:tc>
      </w:tr>
      <w:tr w14:paraId="598EC392">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78D166A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DD536">
            <w:pPr>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1-29</w:t>
            </w:r>
            <w:r>
              <w:rPr>
                <w:rFonts w:hint="eastAsia" w:ascii="Times New Roman" w:hAnsi="Times New Roman" w:cs="Times New Roman"/>
                <w:color w:val="000000" w:themeColor="text1"/>
                <w:kern w:val="0"/>
                <w:sz w:val="24"/>
                <w:szCs w:val="24"/>
                <w:lang w:val="en-US" w:eastAsia="zh-CN"/>
              </w:rPr>
              <w:t>9</w:t>
            </w:r>
          </w:p>
        </w:tc>
        <w:tc>
          <w:tcPr>
            <w:tcW w:w="2331" w:type="dxa"/>
            <w:tcBorders>
              <w:top w:val="single" w:color="000000" w:sz="4" w:space="0"/>
              <w:left w:val="single" w:color="000000" w:sz="4" w:space="0"/>
              <w:bottom w:val="single" w:color="000000" w:sz="4" w:space="0"/>
              <w:right w:val="single" w:color="000000" w:sz="4" w:space="0"/>
            </w:tcBorders>
            <w:vAlign w:val="center"/>
          </w:tcPr>
          <w:p w14:paraId="2CDE0A4D">
            <w:pPr>
              <w:pStyle w:val="156"/>
              <w:snapToGrid w:val="0"/>
              <w:spacing w:before="3" w:line="240" w:lineRule="auto"/>
              <w:ind w:left="110" w:leftChars="0" w:right="1" w:rightChars="0"/>
              <w:jc w:val="center"/>
              <w:rPr>
                <w:color w:val="000000" w:themeColor="text1"/>
              </w:rPr>
            </w:pPr>
            <w:r>
              <w:rPr>
                <w:rFonts w:eastAsiaTheme="minorEastAsia"/>
                <w:color w:val="000000" w:themeColor="text1"/>
                <w:lang w:eastAsia="en-US"/>
              </w:rPr>
              <w:t>表土</w:t>
            </w:r>
            <w:r>
              <w:rPr>
                <w:rFonts w:hint="eastAsia" w:eastAsiaTheme="minorEastAsia"/>
                <w:color w:val="000000" w:themeColor="text1"/>
                <w:lang w:val="en-US" w:eastAsia="zh-CN"/>
              </w:rPr>
              <w:t>运输</w:t>
            </w:r>
            <w:r>
              <w:rPr>
                <w:rFonts w:hint="eastAsia" w:eastAsiaTheme="minorEastAsia"/>
                <w:color w:val="000000" w:themeColor="text1"/>
                <w:lang w:eastAsia="en-US"/>
              </w:rPr>
              <w:t>回覆</w:t>
            </w:r>
          </w:p>
        </w:tc>
        <w:tc>
          <w:tcPr>
            <w:tcW w:w="782" w:type="dxa"/>
            <w:tcBorders>
              <w:top w:val="single" w:color="000000" w:sz="4" w:space="0"/>
              <w:left w:val="single" w:color="000000" w:sz="4" w:space="0"/>
              <w:bottom w:val="single" w:color="000000" w:sz="4" w:space="0"/>
              <w:right w:val="single" w:color="000000" w:sz="4" w:space="0"/>
            </w:tcBorders>
            <w:vAlign w:val="center"/>
          </w:tcPr>
          <w:p w14:paraId="4BB57D2F">
            <w:pPr>
              <w:pStyle w:val="156"/>
              <w:snapToGrid w:val="0"/>
              <w:spacing w:before="46" w:line="240" w:lineRule="auto"/>
              <w:ind w:left="110" w:leftChars="0"/>
              <w:jc w:val="center"/>
              <w:rPr>
                <w:rFonts w:hint="eastAsia" w:eastAsia="宋体"/>
                <w:color w:val="000000" w:themeColor="text1"/>
                <w:lang w:eastAsia="zh-CN"/>
              </w:rPr>
            </w:pPr>
            <w:r>
              <w:rPr>
                <w:rFonts w:hint="eastAsia"/>
                <w:color w:val="000000" w:themeColor="text1"/>
                <w:lang w:eastAsia="zh-CN"/>
              </w:rPr>
              <w:t>m</w:t>
            </w:r>
            <w:r>
              <w:rPr>
                <w:rFonts w:hint="eastAsia"/>
                <w:strike w:val="0"/>
                <w:dstrike w:val="0"/>
                <w:color w:val="000000" w:themeColor="text1"/>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center"/>
          </w:tcPr>
          <w:p w14:paraId="7B48A0ED">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lang w:val="en-US" w:eastAsia="zh-CN"/>
              </w:rPr>
              <w:t>2700</w:t>
            </w:r>
          </w:p>
        </w:tc>
        <w:tc>
          <w:tcPr>
            <w:tcW w:w="1186" w:type="dxa"/>
            <w:tcBorders>
              <w:top w:val="single" w:color="000000" w:sz="4" w:space="0"/>
              <w:left w:val="single" w:color="000000" w:sz="4" w:space="0"/>
              <w:bottom w:val="single" w:color="000000" w:sz="4" w:space="0"/>
              <w:right w:val="single" w:color="000000" w:sz="4" w:space="0"/>
            </w:tcBorders>
            <w:vAlign w:val="center"/>
          </w:tcPr>
          <w:p w14:paraId="2925FB75">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lang w:val="en-US" w:eastAsia="zh-CN"/>
              </w:rPr>
              <w:t>14</w:t>
            </w:r>
            <w:r>
              <w:rPr>
                <w:rFonts w:hint="eastAsia" w:ascii="Times New Roman" w:hAnsi="Times New Roman" w:cs="Times New Roman"/>
                <w:color w:val="000000" w:themeColor="text1"/>
                <w:kern w:val="0"/>
                <w:sz w:val="24"/>
                <w:szCs w:val="24"/>
              </w:rPr>
              <w:t>.00</w:t>
            </w:r>
          </w:p>
        </w:tc>
        <w:tc>
          <w:tcPr>
            <w:tcW w:w="1368" w:type="dxa"/>
            <w:tcBorders>
              <w:top w:val="single" w:color="000000" w:sz="4" w:space="0"/>
              <w:left w:val="single" w:color="000000" w:sz="4" w:space="0"/>
              <w:bottom w:val="single" w:color="000000" w:sz="4" w:space="0"/>
              <w:right w:val="single" w:color="000000" w:sz="12" w:space="0"/>
            </w:tcBorders>
            <w:vAlign w:val="center"/>
          </w:tcPr>
          <w:p w14:paraId="434CA9A7">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3.78 </w:t>
            </w:r>
          </w:p>
        </w:tc>
      </w:tr>
      <w:tr w14:paraId="44148C2B">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124CE763">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（四）</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6A669">
            <w:pPr>
              <w:adjustRightInd w:val="0"/>
              <w:snapToGrid w:val="0"/>
              <w:spacing w:line="240" w:lineRule="auto"/>
              <w:jc w:val="center"/>
              <w:rPr>
                <w:rFonts w:ascii="Times New Roman" w:hAnsi="Times New Roman" w:cs="Times New Roman"/>
                <w:color w:val="000000" w:themeColor="text1"/>
                <w:kern w:val="0"/>
                <w:sz w:val="24"/>
                <w:szCs w:val="24"/>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7444211E">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植被重建工程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07F4B7F1">
            <w:pPr>
              <w:adjustRightInd w:val="0"/>
              <w:snapToGrid w:val="0"/>
              <w:spacing w:line="240" w:lineRule="auto"/>
              <w:jc w:val="center"/>
              <w:rPr>
                <w:rFonts w:ascii="Times New Roman" w:hAnsi="Times New Roman" w:cs="Times New Roman"/>
                <w:color w:val="000000" w:themeColor="text1"/>
                <w:kern w:val="0"/>
                <w:sz w:val="24"/>
                <w:szCs w:val="24"/>
              </w:rPr>
            </w:pPr>
          </w:p>
        </w:tc>
        <w:tc>
          <w:tcPr>
            <w:tcW w:w="1154" w:type="dxa"/>
            <w:tcBorders>
              <w:top w:val="single" w:color="000000" w:sz="4" w:space="0"/>
              <w:left w:val="single" w:color="000000" w:sz="4" w:space="0"/>
              <w:bottom w:val="single" w:color="000000" w:sz="4" w:space="0"/>
              <w:right w:val="single" w:color="000000" w:sz="4" w:space="0"/>
            </w:tcBorders>
            <w:vAlign w:val="center"/>
          </w:tcPr>
          <w:p w14:paraId="7C9F93FD">
            <w:pPr>
              <w:widowControl/>
              <w:topLinePunct/>
              <w:snapToGrid w:val="0"/>
              <w:spacing w:line="240" w:lineRule="auto"/>
              <w:jc w:val="center"/>
              <w:rPr>
                <w:color w:val="000000" w:themeColor="text1"/>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39C9CEE1">
            <w:pPr>
              <w:widowControl/>
              <w:topLinePunct/>
              <w:snapToGrid w:val="0"/>
              <w:spacing w:line="240" w:lineRule="auto"/>
              <w:jc w:val="center"/>
              <w:rPr>
                <w:color w:val="000000" w:themeColor="text1"/>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1E4BDF88">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35.87 </w:t>
            </w:r>
          </w:p>
        </w:tc>
      </w:tr>
      <w:tr w14:paraId="4515071D">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0AA7C80D">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8EA4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9-001</w:t>
            </w:r>
          </w:p>
        </w:tc>
        <w:tc>
          <w:tcPr>
            <w:tcW w:w="2331" w:type="dxa"/>
            <w:tcBorders>
              <w:top w:val="single" w:color="000000" w:sz="4" w:space="0"/>
              <w:left w:val="single" w:color="000000" w:sz="4" w:space="0"/>
              <w:bottom w:val="single" w:color="000000" w:sz="4" w:space="0"/>
              <w:right w:val="single" w:color="000000" w:sz="4" w:space="0"/>
            </w:tcBorders>
            <w:vAlign w:val="center"/>
          </w:tcPr>
          <w:p w14:paraId="320E8711">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栽植乔木</w:t>
            </w:r>
          </w:p>
        </w:tc>
        <w:tc>
          <w:tcPr>
            <w:tcW w:w="782" w:type="dxa"/>
            <w:tcBorders>
              <w:top w:val="single" w:color="000000" w:sz="4" w:space="0"/>
              <w:left w:val="single" w:color="000000" w:sz="4" w:space="0"/>
              <w:bottom w:val="single" w:color="000000" w:sz="4" w:space="0"/>
              <w:right w:val="single" w:color="000000" w:sz="4" w:space="0"/>
            </w:tcBorders>
            <w:vAlign w:val="center"/>
          </w:tcPr>
          <w:p w14:paraId="3875969B">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株</w:t>
            </w:r>
          </w:p>
        </w:tc>
        <w:tc>
          <w:tcPr>
            <w:tcW w:w="1154" w:type="dxa"/>
            <w:tcBorders>
              <w:top w:val="single" w:color="000000" w:sz="4" w:space="0"/>
              <w:left w:val="single" w:color="000000" w:sz="4" w:space="0"/>
              <w:bottom w:val="single" w:color="000000" w:sz="4" w:space="0"/>
              <w:right w:val="single" w:color="000000" w:sz="4" w:space="0"/>
            </w:tcBorders>
            <w:vAlign w:val="top"/>
          </w:tcPr>
          <w:p w14:paraId="62C1374C">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lang w:eastAsia="zh-CN"/>
              </w:rPr>
              <w:t>31350</w:t>
            </w:r>
          </w:p>
        </w:tc>
        <w:tc>
          <w:tcPr>
            <w:tcW w:w="1186" w:type="dxa"/>
            <w:tcBorders>
              <w:top w:val="single" w:color="000000" w:sz="4" w:space="0"/>
              <w:left w:val="single" w:color="000000" w:sz="4" w:space="0"/>
              <w:bottom w:val="single" w:color="000000" w:sz="4" w:space="0"/>
              <w:right w:val="single" w:color="000000" w:sz="4" w:space="0"/>
            </w:tcBorders>
            <w:vAlign w:val="center"/>
          </w:tcPr>
          <w:p w14:paraId="62312535">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11.07</w:t>
            </w:r>
          </w:p>
        </w:tc>
        <w:tc>
          <w:tcPr>
            <w:tcW w:w="1368" w:type="dxa"/>
            <w:tcBorders>
              <w:top w:val="single" w:color="000000" w:sz="4" w:space="0"/>
              <w:left w:val="single" w:color="000000" w:sz="4" w:space="0"/>
              <w:bottom w:val="single" w:color="000000" w:sz="4" w:space="0"/>
              <w:right w:val="single" w:color="000000" w:sz="12" w:space="0"/>
            </w:tcBorders>
            <w:vAlign w:val="center"/>
          </w:tcPr>
          <w:p w14:paraId="49F46D13">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34.70 </w:t>
            </w:r>
          </w:p>
        </w:tc>
      </w:tr>
      <w:tr w14:paraId="273C87AB">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0BD63306">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6F1E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9-018</w:t>
            </w:r>
          </w:p>
        </w:tc>
        <w:tc>
          <w:tcPr>
            <w:tcW w:w="2331" w:type="dxa"/>
            <w:tcBorders>
              <w:top w:val="single" w:color="000000" w:sz="4" w:space="0"/>
              <w:left w:val="single" w:color="000000" w:sz="4" w:space="0"/>
              <w:bottom w:val="single" w:color="000000" w:sz="4" w:space="0"/>
              <w:right w:val="single" w:color="000000" w:sz="4" w:space="0"/>
            </w:tcBorders>
            <w:vAlign w:val="center"/>
          </w:tcPr>
          <w:p w14:paraId="6284597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栽植常春藤</w:t>
            </w:r>
          </w:p>
        </w:tc>
        <w:tc>
          <w:tcPr>
            <w:tcW w:w="782" w:type="dxa"/>
            <w:tcBorders>
              <w:top w:val="single" w:color="000000" w:sz="4" w:space="0"/>
              <w:left w:val="single" w:color="000000" w:sz="4" w:space="0"/>
              <w:bottom w:val="single" w:color="000000" w:sz="4" w:space="0"/>
              <w:right w:val="single" w:color="000000" w:sz="4" w:space="0"/>
            </w:tcBorders>
            <w:vAlign w:val="center"/>
          </w:tcPr>
          <w:p w14:paraId="7A2C64D5">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株</w:t>
            </w:r>
          </w:p>
        </w:tc>
        <w:tc>
          <w:tcPr>
            <w:tcW w:w="1154" w:type="dxa"/>
            <w:tcBorders>
              <w:top w:val="single" w:color="000000" w:sz="4" w:space="0"/>
              <w:left w:val="single" w:color="000000" w:sz="4" w:space="0"/>
              <w:bottom w:val="single" w:color="000000" w:sz="4" w:space="0"/>
              <w:right w:val="single" w:color="000000" w:sz="4" w:space="0"/>
            </w:tcBorders>
            <w:vAlign w:val="top"/>
          </w:tcPr>
          <w:p w14:paraId="44A27B5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5200</w:t>
            </w:r>
          </w:p>
        </w:tc>
        <w:tc>
          <w:tcPr>
            <w:tcW w:w="1186" w:type="dxa"/>
            <w:tcBorders>
              <w:top w:val="single" w:color="000000" w:sz="4" w:space="0"/>
              <w:left w:val="single" w:color="000000" w:sz="4" w:space="0"/>
              <w:bottom w:val="single" w:color="000000" w:sz="4" w:space="0"/>
              <w:right w:val="single" w:color="000000" w:sz="4" w:space="0"/>
            </w:tcBorders>
            <w:vAlign w:val="center"/>
          </w:tcPr>
          <w:p w14:paraId="52599B5B">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2.24</w:t>
            </w:r>
          </w:p>
        </w:tc>
        <w:tc>
          <w:tcPr>
            <w:tcW w:w="1368" w:type="dxa"/>
            <w:tcBorders>
              <w:top w:val="single" w:color="000000" w:sz="4" w:space="0"/>
              <w:left w:val="single" w:color="000000" w:sz="4" w:space="0"/>
              <w:bottom w:val="single" w:color="000000" w:sz="4" w:space="0"/>
              <w:right w:val="single" w:color="000000" w:sz="12" w:space="0"/>
            </w:tcBorders>
            <w:vAlign w:val="center"/>
          </w:tcPr>
          <w:p w14:paraId="3DD31225">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1.16 </w:t>
            </w:r>
          </w:p>
        </w:tc>
      </w:tr>
      <w:tr w14:paraId="706EB95D">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2F6CCF9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（五）</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8A17A">
            <w:pPr>
              <w:adjustRightInd w:val="0"/>
              <w:snapToGrid w:val="0"/>
              <w:spacing w:line="240" w:lineRule="auto"/>
              <w:jc w:val="center"/>
              <w:rPr>
                <w:rFonts w:ascii="Times New Roman" w:hAnsi="Times New Roman" w:cs="Times New Roman"/>
                <w:color w:val="000000" w:themeColor="text1"/>
                <w:kern w:val="0"/>
                <w:sz w:val="24"/>
                <w:szCs w:val="24"/>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401A8BC7">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景观营建工程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40BAB893">
            <w:pPr>
              <w:adjustRightInd w:val="0"/>
              <w:snapToGrid w:val="0"/>
              <w:spacing w:line="240" w:lineRule="auto"/>
              <w:jc w:val="center"/>
              <w:rPr>
                <w:rFonts w:ascii="Times New Roman" w:hAnsi="Times New Roman" w:cs="Times New Roman"/>
                <w:color w:val="000000" w:themeColor="text1"/>
                <w:kern w:val="0"/>
                <w:sz w:val="24"/>
                <w:szCs w:val="24"/>
              </w:rPr>
            </w:pPr>
          </w:p>
        </w:tc>
        <w:tc>
          <w:tcPr>
            <w:tcW w:w="1154" w:type="dxa"/>
            <w:tcBorders>
              <w:top w:val="single" w:color="000000" w:sz="4" w:space="0"/>
              <w:left w:val="single" w:color="000000" w:sz="4" w:space="0"/>
              <w:bottom w:val="single" w:color="000000" w:sz="4" w:space="0"/>
              <w:right w:val="single" w:color="000000" w:sz="4" w:space="0"/>
            </w:tcBorders>
            <w:vAlign w:val="center"/>
          </w:tcPr>
          <w:p w14:paraId="0678CCD2">
            <w:pPr>
              <w:widowControl/>
              <w:topLinePunct/>
              <w:snapToGrid w:val="0"/>
              <w:spacing w:line="240" w:lineRule="auto"/>
              <w:jc w:val="center"/>
              <w:rPr>
                <w:rFonts w:hint="eastAsia" w:eastAsia="宋体"/>
                <w:color w:val="000000" w:themeColor="text1"/>
                <w:lang w:eastAsia="zh-CN"/>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1C67DE65">
            <w:pPr>
              <w:widowControl/>
              <w:topLinePunct/>
              <w:snapToGrid w:val="0"/>
              <w:spacing w:line="240" w:lineRule="auto"/>
              <w:jc w:val="center"/>
              <w:rPr>
                <w:color w:val="000000" w:themeColor="text1"/>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1C093A70">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0.50 </w:t>
            </w:r>
          </w:p>
        </w:tc>
      </w:tr>
      <w:tr w14:paraId="6838B510">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68BE8928">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0AF62">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2331" w:type="dxa"/>
            <w:tcBorders>
              <w:top w:val="single" w:color="000000" w:sz="4" w:space="0"/>
              <w:left w:val="single" w:color="000000" w:sz="4" w:space="0"/>
              <w:bottom w:val="single" w:color="000000" w:sz="4" w:space="0"/>
              <w:right w:val="single" w:color="000000" w:sz="4" w:space="0"/>
            </w:tcBorders>
            <w:vAlign w:val="center"/>
          </w:tcPr>
          <w:p w14:paraId="23FC14C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警示牌</w:t>
            </w:r>
          </w:p>
        </w:tc>
        <w:tc>
          <w:tcPr>
            <w:tcW w:w="782" w:type="dxa"/>
            <w:tcBorders>
              <w:top w:val="single" w:color="000000" w:sz="4" w:space="0"/>
              <w:left w:val="single" w:color="000000" w:sz="4" w:space="0"/>
              <w:bottom w:val="single" w:color="000000" w:sz="4" w:space="0"/>
              <w:right w:val="single" w:color="000000" w:sz="4" w:space="0"/>
            </w:tcBorders>
            <w:vAlign w:val="center"/>
          </w:tcPr>
          <w:p w14:paraId="20635B01">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个</w:t>
            </w:r>
          </w:p>
        </w:tc>
        <w:tc>
          <w:tcPr>
            <w:tcW w:w="1154" w:type="dxa"/>
            <w:tcBorders>
              <w:top w:val="single" w:color="000000" w:sz="4" w:space="0"/>
              <w:left w:val="single" w:color="000000" w:sz="4" w:space="0"/>
              <w:bottom w:val="single" w:color="000000" w:sz="4" w:space="0"/>
              <w:right w:val="single" w:color="000000" w:sz="4" w:space="0"/>
            </w:tcBorders>
            <w:vAlign w:val="top"/>
          </w:tcPr>
          <w:p w14:paraId="3FF04E23">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13</w:t>
            </w:r>
          </w:p>
        </w:tc>
        <w:tc>
          <w:tcPr>
            <w:tcW w:w="1186" w:type="dxa"/>
            <w:tcBorders>
              <w:top w:val="single" w:color="000000" w:sz="4" w:space="0"/>
              <w:left w:val="single" w:color="000000" w:sz="4" w:space="0"/>
              <w:bottom w:val="single" w:color="000000" w:sz="4" w:space="0"/>
              <w:right w:val="single" w:color="000000" w:sz="4" w:space="0"/>
            </w:tcBorders>
            <w:vAlign w:val="center"/>
          </w:tcPr>
          <w:p w14:paraId="25D0E0C8">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200.00</w:t>
            </w:r>
          </w:p>
        </w:tc>
        <w:tc>
          <w:tcPr>
            <w:tcW w:w="1368" w:type="dxa"/>
            <w:tcBorders>
              <w:top w:val="single" w:color="000000" w:sz="4" w:space="0"/>
              <w:left w:val="single" w:color="000000" w:sz="4" w:space="0"/>
              <w:bottom w:val="single" w:color="000000" w:sz="4" w:space="0"/>
              <w:right w:val="single" w:color="000000" w:sz="12" w:space="0"/>
            </w:tcBorders>
            <w:vAlign w:val="center"/>
          </w:tcPr>
          <w:p w14:paraId="0CB1DA54">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0.26 </w:t>
            </w:r>
          </w:p>
        </w:tc>
      </w:tr>
      <w:tr w14:paraId="0BF1E831">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vAlign w:val="center"/>
          </w:tcPr>
          <w:p w14:paraId="0A3B7C8D">
            <w:pPr>
              <w:adjustRightInd w:val="0"/>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2</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43811">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1-283</w:t>
            </w:r>
          </w:p>
        </w:tc>
        <w:tc>
          <w:tcPr>
            <w:tcW w:w="2331" w:type="dxa"/>
            <w:tcBorders>
              <w:top w:val="single" w:color="000000" w:sz="4" w:space="0"/>
              <w:left w:val="single" w:color="000000" w:sz="4" w:space="0"/>
              <w:bottom w:val="single" w:color="000000" w:sz="4" w:space="0"/>
              <w:right w:val="single" w:color="000000" w:sz="4" w:space="0"/>
            </w:tcBorders>
            <w:vAlign w:val="center"/>
          </w:tcPr>
          <w:p w14:paraId="4DC5D6C1">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开挖汇水渠</w:t>
            </w:r>
          </w:p>
        </w:tc>
        <w:tc>
          <w:tcPr>
            <w:tcW w:w="782" w:type="dxa"/>
            <w:tcBorders>
              <w:top w:val="single" w:color="000000" w:sz="4" w:space="0"/>
              <w:left w:val="single" w:color="000000" w:sz="4" w:space="0"/>
              <w:bottom w:val="single" w:color="000000" w:sz="4" w:space="0"/>
              <w:right w:val="single" w:color="000000" w:sz="4" w:space="0"/>
            </w:tcBorders>
            <w:vAlign w:val="center"/>
          </w:tcPr>
          <w:p w14:paraId="5ACFED0A">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top"/>
          </w:tcPr>
          <w:p w14:paraId="06B63578">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900</w:t>
            </w:r>
          </w:p>
        </w:tc>
        <w:tc>
          <w:tcPr>
            <w:tcW w:w="1186" w:type="dxa"/>
            <w:tcBorders>
              <w:top w:val="single" w:color="000000" w:sz="4" w:space="0"/>
              <w:left w:val="single" w:color="000000" w:sz="4" w:space="0"/>
              <w:bottom w:val="single" w:color="000000" w:sz="4" w:space="0"/>
              <w:right w:val="single" w:color="000000" w:sz="4" w:space="0"/>
            </w:tcBorders>
            <w:vAlign w:val="center"/>
          </w:tcPr>
          <w:p w14:paraId="60BEBB8D">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rPr>
              <w:t>2.64</w:t>
            </w:r>
          </w:p>
        </w:tc>
        <w:tc>
          <w:tcPr>
            <w:tcW w:w="1368" w:type="dxa"/>
            <w:tcBorders>
              <w:top w:val="single" w:color="000000" w:sz="4" w:space="0"/>
              <w:left w:val="single" w:color="000000" w:sz="4" w:space="0"/>
              <w:bottom w:val="single" w:color="000000" w:sz="4" w:space="0"/>
              <w:right w:val="single" w:color="000000" w:sz="12" w:space="0"/>
            </w:tcBorders>
            <w:vAlign w:val="center"/>
          </w:tcPr>
          <w:p w14:paraId="4735AF08">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0.24 </w:t>
            </w:r>
          </w:p>
        </w:tc>
      </w:tr>
      <w:tr w14:paraId="6472CB02">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3B82325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（六）</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AED1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FB1C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监测与管护</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FCB2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7756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1303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22FF601">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57.17</w:t>
            </w:r>
          </w:p>
        </w:tc>
      </w:tr>
      <w:tr w14:paraId="643E1ABD">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36CCD83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1198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2A81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矿山地质环境监测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A3CC2">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EAE1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C139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3B7FA5F">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27.00</w:t>
            </w:r>
          </w:p>
        </w:tc>
      </w:tr>
      <w:tr w14:paraId="6EAB0C7F">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0E677E2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D205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0134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地质灾害监测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2BB3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次</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BF3F3">
            <w:pPr>
              <w:widowControl/>
              <w:topLinePunct/>
              <w:snapToGrid w:val="0"/>
              <w:spacing w:line="240" w:lineRule="auto"/>
              <w:jc w:val="center"/>
              <w:rPr>
                <w:color w:val="000000" w:themeColor="text1"/>
              </w:rPr>
            </w:pPr>
            <w:r>
              <w:rPr>
                <w:rFonts w:hint="eastAsia" w:ascii="Times New Roman" w:hAnsi="Times New Roman" w:eastAsia="宋体" w:cs="Times New Roman"/>
                <w:color w:val="000000" w:themeColor="text1"/>
                <w:kern w:val="0"/>
                <w:sz w:val="24"/>
                <w:szCs w:val="24"/>
                <w:lang w:val="en-US" w:eastAsia="en-US"/>
              </w:rPr>
              <w:t>1248</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BB235">
            <w:pPr>
              <w:widowControl/>
              <w:topLinePunct/>
              <w:snapToGrid w:val="0"/>
              <w:spacing w:line="240" w:lineRule="auto"/>
              <w:jc w:val="center"/>
              <w:rPr>
                <w:color w:val="000000" w:themeColor="text1"/>
              </w:rPr>
            </w:pPr>
            <w:r>
              <w:rPr>
                <w:rFonts w:hint="eastAsia" w:ascii="Times New Roman" w:hAnsi="Times New Roman" w:eastAsia="宋体" w:cs="Times New Roman"/>
                <w:color w:val="000000" w:themeColor="text1"/>
                <w:kern w:val="0"/>
                <w:sz w:val="24"/>
                <w:szCs w:val="24"/>
                <w:lang w:val="en-US" w:eastAsia="zh-CN"/>
              </w:rPr>
              <w:t>1</w:t>
            </w:r>
            <w:r>
              <w:rPr>
                <w:rFonts w:hint="eastAsia" w:ascii="Times New Roman" w:hAnsi="Times New Roman" w:eastAsia="宋体" w:cs="Times New Roman"/>
                <w:color w:val="000000" w:themeColor="text1"/>
                <w:kern w:val="0"/>
                <w:sz w:val="24"/>
                <w:szCs w:val="24"/>
                <w:lang w:val="en-US" w:eastAsia="en-US"/>
              </w:rPr>
              <w:t>00.00</w:t>
            </w: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FD19496">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12.48 </w:t>
            </w:r>
          </w:p>
        </w:tc>
      </w:tr>
      <w:tr w14:paraId="37F45245">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0703096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6701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01C4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地表水监测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8C3F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次</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3B04E">
            <w:pPr>
              <w:widowControl/>
              <w:topLinePunct/>
              <w:snapToGrid w:val="0"/>
              <w:spacing w:line="240" w:lineRule="auto"/>
              <w:jc w:val="center"/>
              <w:rPr>
                <w:color w:val="000000" w:themeColor="text1"/>
              </w:rPr>
            </w:pPr>
            <w:r>
              <w:rPr>
                <w:rFonts w:hint="eastAsia" w:ascii="Times New Roman" w:hAnsi="Times New Roman" w:eastAsia="宋体" w:cs="Times New Roman"/>
                <w:color w:val="000000" w:themeColor="text1"/>
                <w:kern w:val="0"/>
                <w:sz w:val="24"/>
                <w:szCs w:val="24"/>
                <w:lang w:val="en-US" w:eastAsia="en-US"/>
              </w:rPr>
              <w:t>416</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81E06">
            <w:pPr>
              <w:widowControl/>
              <w:topLinePunct/>
              <w:snapToGrid w:val="0"/>
              <w:spacing w:line="240" w:lineRule="auto"/>
              <w:jc w:val="center"/>
              <w:rPr>
                <w:color w:val="000000" w:themeColor="text1"/>
              </w:rPr>
            </w:pPr>
            <w:r>
              <w:rPr>
                <w:rFonts w:hint="eastAsia" w:ascii="Times New Roman" w:hAnsi="Times New Roman" w:eastAsia="宋体" w:cs="Times New Roman"/>
                <w:color w:val="000000" w:themeColor="text1"/>
                <w:kern w:val="0"/>
                <w:sz w:val="24"/>
                <w:szCs w:val="24"/>
                <w:lang w:val="en-US" w:eastAsia="zh-CN"/>
              </w:rPr>
              <w:t>1</w:t>
            </w:r>
            <w:r>
              <w:rPr>
                <w:rFonts w:hint="eastAsia" w:ascii="Times New Roman" w:hAnsi="Times New Roman" w:eastAsia="宋体" w:cs="Times New Roman"/>
                <w:color w:val="000000" w:themeColor="text1"/>
                <w:kern w:val="0"/>
                <w:sz w:val="24"/>
                <w:szCs w:val="24"/>
                <w:lang w:val="en-US" w:eastAsia="en-US"/>
              </w:rPr>
              <w:t>00.00</w:t>
            </w: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3C7C694">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4.16 </w:t>
            </w:r>
          </w:p>
        </w:tc>
      </w:tr>
      <w:tr w14:paraId="7A3214BA">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53E5B0A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300A2">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9327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土地资源监测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7750D">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32B61">
            <w:pPr>
              <w:widowControl/>
              <w:topLinePunct/>
              <w:snapToGrid w:val="0"/>
              <w:spacing w:line="240" w:lineRule="auto"/>
              <w:jc w:val="center"/>
              <w:rPr>
                <w:color w:val="000000" w:themeColor="text1"/>
              </w:rPr>
            </w:pP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550A6">
            <w:pPr>
              <w:widowControl/>
              <w:topLinePunct/>
              <w:snapToGrid w:val="0"/>
              <w:spacing w:line="240" w:lineRule="auto"/>
              <w:jc w:val="center"/>
              <w:rPr>
                <w:color w:val="000000" w:themeColor="text1"/>
              </w:rPr>
            </w:pP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16F6D9A">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1.04 </w:t>
            </w:r>
          </w:p>
        </w:tc>
      </w:tr>
      <w:tr w14:paraId="2801FA30">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5606DE7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7BF7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3F37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地形地貌景观监测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B833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次</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BC098">
            <w:pPr>
              <w:widowControl/>
              <w:topLinePunct/>
              <w:snapToGrid w:val="0"/>
              <w:spacing w:line="240" w:lineRule="auto"/>
              <w:jc w:val="center"/>
              <w:rPr>
                <w:color w:val="000000" w:themeColor="text1"/>
              </w:rPr>
            </w:pPr>
            <w:r>
              <w:rPr>
                <w:rFonts w:hint="eastAsia" w:ascii="Times New Roman" w:hAnsi="Times New Roman" w:eastAsia="宋体" w:cs="Times New Roman"/>
                <w:color w:val="000000" w:themeColor="text1"/>
                <w:kern w:val="0"/>
                <w:sz w:val="24"/>
                <w:szCs w:val="24"/>
                <w:lang w:val="en-US" w:eastAsia="en-US"/>
              </w:rPr>
              <w:t>104</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590EA">
            <w:pPr>
              <w:widowControl/>
              <w:topLinePunct/>
              <w:snapToGrid w:val="0"/>
              <w:spacing w:line="240" w:lineRule="auto"/>
              <w:jc w:val="center"/>
              <w:rPr>
                <w:color w:val="000000" w:themeColor="text1"/>
              </w:rPr>
            </w:pPr>
            <w:r>
              <w:rPr>
                <w:rFonts w:hint="eastAsia" w:ascii="Times New Roman" w:hAnsi="Times New Roman" w:eastAsia="宋体" w:cs="Times New Roman"/>
                <w:color w:val="000000" w:themeColor="text1"/>
                <w:kern w:val="0"/>
                <w:sz w:val="24"/>
                <w:szCs w:val="24"/>
                <w:lang w:val="en-US" w:eastAsia="zh-CN"/>
              </w:rPr>
              <w:t>1</w:t>
            </w:r>
            <w:r>
              <w:rPr>
                <w:rFonts w:hint="eastAsia" w:ascii="Times New Roman" w:hAnsi="Times New Roman" w:eastAsia="宋体" w:cs="Times New Roman"/>
                <w:color w:val="000000" w:themeColor="text1"/>
                <w:kern w:val="0"/>
                <w:sz w:val="24"/>
                <w:szCs w:val="24"/>
                <w:lang w:val="en-US" w:eastAsia="en-US"/>
              </w:rPr>
              <w:t>00.00</w:t>
            </w: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D65693C">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1.04 </w:t>
            </w:r>
          </w:p>
        </w:tc>
      </w:tr>
      <w:tr w14:paraId="70AEBD86">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5BFED60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01F5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455C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生态系统监测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4E2B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3FB63">
            <w:pPr>
              <w:widowControl/>
              <w:topLinePunct/>
              <w:snapToGrid w:val="0"/>
              <w:spacing w:line="240" w:lineRule="auto"/>
              <w:jc w:val="center"/>
              <w:rPr>
                <w:color w:val="000000" w:themeColor="text1"/>
              </w:rPr>
            </w:pP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50FEF">
            <w:pPr>
              <w:widowControl/>
              <w:topLinePunct/>
              <w:snapToGrid w:val="0"/>
              <w:spacing w:line="240" w:lineRule="auto"/>
              <w:jc w:val="center"/>
              <w:rPr>
                <w:color w:val="000000" w:themeColor="text1"/>
              </w:rPr>
            </w:pP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147120B">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1.80 </w:t>
            </w:r>
          </w:p>
        </w:tc>
      </w:tr>
      <w:tr w14:paraId="6469A42F">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7601D9B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68BC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B3B2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土壤质量监测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E466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次</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24D84">
            <w:pPr>
              <w:widowControl/>
              <w:topLinePunct/>
              <w:snapToGrid w:val="0"/>
              <w:spacing w:line="240" w:lineRule="auto"/>
              <w:jc w:val="center"/>
              <w:rPr>
                <w:color w:val="000000" w:themeColor="text1"/>
              </w:rPr>
            </w:pPr>
            <w:r>
              <w:rPr>
                <w:rFonts w:hint="eastAsia" w:ascii="Times New Roman" w:hAnsi="Times New Roman" w:eastAsia="宋体" w:cs="Times New Roman"/>
                <w:color w:val="000000" w:themeColor="text1"/>
                <w:kern w:val="0"/>
                <w:sz w:val="24"/>
                <w:szCs w:val="24"/>
                <w:lang w:val="en-US" w:eastAsia="en-US"/>
              </w:rPr>
              <w:t>12</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56110">
            <w:pPr>
              <w:widowControl/>
              <w:topLinePunct/>
              <w:snapToGrid w:val="0"/>
              <w:spacing w:line="240" w:lineRule="auto"/>
              <w:jc w:val="center"/>
              <w:rPr>
                <w:color w:val="000000" w:themeColor="text1"/>
              </w:rPr>
            </w:pPr>
            <w:r>
              <w:rPr>
                <w:rFonts w:hint="eastAsia" w:ascii="Times New Roman" w:hAnsi="Times New Roman" w:eastAsia="宋体" w:cs="Times New Roman"/>
                <w:color w:val="000000" w:themeColor="text1"/>
                <w:kern w:val="0"/>
                <w:sz w:val="24"/>
                <w:szCs w:val="24"/>
                <w:lang w:val="en-US" w:eastAsia="en-US"/>
              </w:rPr>
              <w:t>1</w:t>
            </w:r>
            <w:r>
              <w:rPr>
                <w:rFonts w:hint="eastAsia" w:ascii="Times New Roman" w:hAnsi="Times New Roman" w:eastAsia="宋体" w:cs="Times New Roman"/>
                <w:color w:val="000000" w:themeColor="text1"/>
                <w:kern w:val="0"/>
                <w:sz w:val="24"/>
                <w:szCs w:val="24"/>
                <w:lang w:val="en-US" w:eastAsia="zh-CN"/>
              </w:rPr>
              <w:t>0</w:t>
            </w:r>
            <w:r>
              <w:rPr>
                <w:rFonts w:hint="eastAsia" w:ascii="Times New Roman" w:hAnsi="Times New Roman" w:eastAsia="宋体" w:cs="Times New Roman"/>
                <w:color w:val="000000" w:themeColor="text1"/>
                <w:kern w:val="0"/>
                <w:sz w:val="24"/>
                <w:szCs w:val="24"/>
                <w:lang w:val="en-US" w:eastAsia="en-US"/>
              </w:rPr>
              <w:t>00.00</w:t>
            </w: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674A66C">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1.20 </w:t>
            </w:r>
          </w:p>
        </w:tc>
      </w:tr>
      <w:tr w14:paraId="65659C7A">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0D0266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847B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D6FF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复垦效果监测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FFA6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次</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18320">
            <w:pPr>
              <w:widowControl/>
              <w:topLinePunct/>
              <w:snapToGrid w:val="0"/>
              <w:spacing w:line="240" w:lineRule="auto"/>
              <w:jc w:val="center"/>
              <w:rPr>
                <w:color w:val="000000" w:themeColor="text1"/>
              </w:rPr>
            </w:pPr>
            <w:r>
              <w:rPr>
                <w:rFonts w:hint="eastAsia" w:ascii="Times New Roman" w:hAnsi="Times New Roman" w:eastAsia="宋体" w:cs="Times New Roman"/>
                <w:color w:val="000000" w:themeColor="text1"/>
                <w:kern w:val="0"/>
                <w:sz w:val="24"/>
                <w:szCs w:val="24"/>
                <w:lang w:val="en-US" w:eastAsia="en-US"/>
              </w:rPr>
              <w:t>12</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76761">
            <w:pPr>
              <w:widowControl/>
              <w:topLinePunct/>
              <w:snapToGrid w:val="0"/>
              <w:spacing w:line="240" w:lineRule="auto"/>
              <w:jc w:val="center"/>
              <w:rPr>
                <w:color w:val="000000" w:themeColor="text1"/>
              </w:rPr>
            </w:pPr>
            <w:r>
              <w:rPr>
                <w:rFonts w:hint="eastAsia" w:ascii="Times New Roman" w:hAnsi="Times New Roman" w:eastAsia="宋体" w:cs="Times New Roman"/>
                <w:color w:val="000000" w:themeColor="text1"/>
                <w:kern w:val="0"/>
                <w:sz w:val="24"/>
                <w:szCs w:val="24"/>
                <w:lang w:val="en-US" w:eastAsia="zh-CN"/>
              </w:rPr>
              <w:t>5</w:t>
            </w:r>
            <w:r>
              <w:rPr>
                <w:rFonts w:hint="eastAsia" w:ascii="Times New Roman" w:hAnsi="Times New Roman" w:eastAsia="宋体" w:cs="Times New Roman"/>
                <w:color w:val="000000" w:themeColor="text1"/>
                <w:kern w:val="0"/>
                <w:sz w:val="24"/>
                <w:szCs w:val="24"/>
                <w:lang w:val="en-US" w:eastAsia="en-US"/>
              </w:rPr>
              <w:t>00.00</w:t>
            </w: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9928293">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0.60 </w:t>
            </w:r>
          </w:p>
        </w:tc>
      </w:tr>
      <w:tr w14:paraId="2EC8F64E">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4314153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F745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C763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管护</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B5873">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0D2C7">
            <w:pPr>
              <w:widowControl/>
              <w:topLinePunct/>
              <w:snapToGrid w:val="0"/>
              <w:spacing w:line="240" w:lineRule="auto"/>
              <w:jc w:val="center"/>
              <w:rPr>
                <w:color w:val="000000" w:themeColor="text1"/>
              </w:rPr>
            </w:pP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EE991">
            <w:pPr>
              <w:widowControl/>
              <w:topLinePunct/>
              <w:snapToGrid w:val="0"/>
              <w:spacing w:line="240" w:lineRule="auto"/>
              <w:jc w:val="center"/>
              <w:rPr>
                <w:color w:val="000000" w:themeColor="text1"/>
              </w:rPr>
            </w:pP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1E5301E">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7.52 </w:t>
            </w:r>
          </w:p>
        </w:tc>
      </w:tr>
      <w:tr w14:paraId="05A3EF7A">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2B656BF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6177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3626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管护</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306FE">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D9A84">
            <w:pPr>
              <w:widowControl/>
              <w:topLinePunct/>
              <w:snapToGrid w:val="0"/>
              <w:spacing w:line="240" w:lineRule="auto"/>
              <w:jc w:val="center"/>
              <w:rPr>
                <w:color w:val="000000" w:themeColor="text1"/>
              </w:rPr>
            </w:pPr>
            <w:r>
              <w:rPr>
                <w:rFonts w:hint="eastAsia" w:ascii="Times New Roman" w:hAnsi="Times New Roman" w:eastAsia="宋体" w:cs="Times New Roman"/>
                <w:color w:val="000000" w:themeColor="text1"/>
                <w:kern w:val="0"/>
                <w:sz w:val="24"/>
                <w:szCs w:val="24"/>
                <w:lang w:val="en-US" w:eastAsia="en-US"/>
              </w:rPr>
              <w:t>3*12.54</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FD06E">
            <w:pPr>
              <w:widowControl/>
              <w:topLinePunct/>
              <w:snapToGrid w:val="0"/>
              <w:spacing w:line="240" w:lineRule="auto"/>
              <w:jc w:val="center"/>
              <w:rPr>
                <w:color w:val="000000" w:themeColor="text1"/>
              </w:rPr>
            </w:pPr>
            <w:r>
              <w:rPr>
                <w:rFonts w:hint="eastAsia" w:ascii="Times New Roman" w:hAnsi="Times New Roman" w:cs="Times New Roman"/>
                <w:color w:val="000000" w:themeColor="text1"/>
                <w:kern w:val="0"/>
                <w:sz w:val="24"/>
                <w:szCs w:val="24"/>
                <w:lang w:val="en-US" w:eastAsia="zh-CN"/>
              </w:rPr>
              <w:t>2</w:t>
            </w:r>
            <w:r>
              <w:rPr>
                <w:rFonts w:hint="eastAsia" w:ascii="Times New Roman" w:hAnsi="Times New Roman" w:eastAsia="宋体" w:cs="Times New Roman"/>
                <w:color w:val="000000" w:themeColor="text1"/>
                <w:kern w:val="0"/>
                <w:sz w:val="24"/>
                <w:szCs w:val="24"/>
                <w:lang w:val="en-US" w:eastAsia="en-US"/>
              </w:rPr>
              <w:t>000.00</w:t>
            </w: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D6200FD">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7.52 </w:t>
            </w:r>
          </w:p>
        </w:tc>
      </w:tr>
      <w:tr w14:paraId="0C206D0F">
        <w:tblPrEx>
          <w:tblCellMar>
            <w:top w:w="0" w:type="dxa"/>
            <w:left w:w="0" w:type="dxa"/>
            <w:bottom w:w="0" w:type="dxa"/>
            <w:right w:w="0" w:type="dxa"/>
          </w:tblCellMar>
        </w:tblPrEx>
        <w:trPr>
          <w:trHeight w:val="23" w:hRule="atLeast"/>
        </w:trPr>
        <w:tc>
          <w:tcPr>
            <w:tcW w:w="919" w:type="dxa"/>
            <w:tcBorders>
              <w:top w:val="single" w:color="000000" w:sz="4" w:space="0"/>
              <w:left w:val="single" w:color="000000" w:sz="12" w:space="0"/>
              <w:bottom w:val="single" w:color="000000" w:sz="12" w:space="0"/>
              <w:right w:val="single" w:color="000000" w:sz="4" w:space="0"/>
            </w:tcBorders>
            <w:vAlign w:val="center"/>
          </w:tcPr>
          <w:p w14:paraId="712BE70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506" w:type="dxa"/>
            <w:tcBorders>
              <w:top w:val="single" w:color="000000" w:sz="4" w:space="0"/>
              <w:left w:val="single" w:color="000000" w:sz="4" w:space="0"/>
              <w:bottom w:val="single" w:color="000000" w:sz="12" w:space="0"/>
              <w:right w:val="single" w:color="000000" w:sz="4" w:space="0"/>
            </w:tcBorders>
            <w:vAlign w:val="center"/>
          </w:tcPr>
          <w:p w14:paraId="0C18D4D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2331" w:type="dxa"/>
            <w:tcBorders>
              <w:top w:val="single" w:color="000000" w:sz="4" w:space="0"/>
              <w:left w:val="single" w:color="000000" w:sz="4" w:space="0"/>
              <w:bottom w:val="single" w:color="000000" w:sz="12" w:space="0"/>
              <w:right w:val="single" w:color="000000" w:sz="4" w:space="0"/>
            </w:tcBorders>
            <w:vAlign w:val="center"/>
          </w:tcPr>
          <w:p w14:paraId="00956FD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782" w:type="dxa"/>
            <w:tcBorders>
              <w:top w:val="single" w:color="000000" w:sz="4" w:space="0"/>
              <w:left w:val="single" w:color="000000" w:sz="4" w:space="0"/>
              <w:bottom w:val="single" w:color="000000" w:sz="12" w:space="0"/>
              <w:right w:val="single" w:color="000000" w:sz="4" w:space="0"/>
            </w:tcBorders>
            <w:vAlign w:val="center"/>
          </w:tcPr>
          <w:p w14:paraId="546FEBE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54" w:type="dxa"/>
            <w:tcBorders>
              <w:top w:val="single" w:color="000000" w:sz="4" w:space="0"/>
              <w:left w:val="single" w:color="000000" w:sz="4" w:space="0"/>
              <w:bottom w:val="single" w:color="000000" w:sz="12" w:space="0"/>
              <w:right w:val="single" w:color="000000" w:sz="4" w:space="0"/>
            </w:tcBorders>
            <w:vAlign w:val="center"/>
          </w:tcPr>
          <w:p w14:paraId="09F2BF6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86" w:type="dxa"/>
            <w:tcBorders>
              <w:top w:val="single" w:color="000000" w:sz="4" w:space="0"/>
              <w:left w:val="single" w:color="000000" w:sz="4" w:space="0"/>
              <w:bottom w:val="single" w:color="000000" w:sz="12" w:space="0"/>
              <w:right w:val="single" w:color="000000" w:sz="4" w:space="0"/>
            </w:tcBorders>
            <w:vAlign w:val="center"/>
          </w:tcPr>
          <w:p w14:paraId="4BEDA13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368" w:type="dxa"/>
            <w:tcBorders>
              <w:top w:val="single" w:color="000000" w:sz="4" w:space="0"/>
              <w:left w:val="single" w:color="000000" w:sz="4" w:space="0"/>
              <w:bottom w:val="single" w:color="000000" w:sz="12" w:space="0"/>
              <w:right w:val="single" w:color="000000" w:sz="12" w:space="0"/>
            </w:tcBorders>
            <w:vAlign w:val="center"/>
          </w:tcPr>
          <w:p w14:paraId="1A841961">
            <w:pPr>
              <w:widowControl/>
              <w:topLinePunct/>
              <w:snapToGrid w:val="0"/>
              <w:spacing w:line="240" w:lineRule="auto"/>
              <w:jc w:val="center"/>
              <w:rPr>
                <w:rFonts w:hint="eastAsia"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87.10</w:t>
            </w:r>
          </w:p>
        </w:tc>
      </w:tr>
    </w:tbl>
    <w:p w14:paraId="63552585">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（三）总工程量及其经费估算</w:t>
      </w:r>
    </w:p>
    <w:p w14:paraId="4C4C6985">
      <w:pPr>
        <w:pStyle w:val="178"/>
        <w:topLinePunct/>
        <w:ind w:firstLine="574"/>
        <w:rPr>
          <w:rFonts w:ascii="Times New Roman" w:hAnsi="Times New Roman" w:cs="Times New Roman"/>
          <w:color w:val="E36C09" w:themeColor="accent6" w:themeShade="BF"/>
          <w:spacing w:val="2"/>
        </w:rPr>
      </w:pPr>
      <w:r>
        <w:rPr>
          <w:rFonts w:ascii="Times New Roman" w:hAnsi="Times New Roman" w:cs="Times New Roman"/>
          <w:color w:val="E36C09" w:themeColor="accent6" w:themeShade="BF"/>
          <w:spacing w:val="2"/>
        </w:rPr>
        <w:t>通过投资预算，本项目生态修复总投资</w:t>
      </w:r>
      <w:r>
        <w:rPr>
          <w:rFonts w:hint="eastAsia" w:ascii="Times New Roman" w:hAnsi="Times New Roman" w:cs="Times New Roman"/>
          <w:color w:val="E36C09" w:themeColor="accent6" w:themeShade="BF"/>
          <w:spacing w:val="2"/>
          <w:lang w:val="en-US" w:eastAsia="zh-CN"/>
        </w:rPr>
        <w:t>103.79</w:t>
      </w:r>
      <w:r>
        <w:rPr>
          <w:rFonts w:ascii="Times New Roman" w:hAnsi="Times New Roman" w:cs="Times New Roman"/>
          <w:color w:val="E36C09" w:themeColor="accent6" w:themeShade="BF"/>
          <w:spacing w:val="2"/>
        </w:rPr>
        <w:t>万元，其中，工程施工费</w:t>
      </w:r>
      <w:r>
        <w:rPr>
          <w:rFonts w:hint="eastAsia" w:ascii="Times New Roman" w:hAnsi="Times New Roman" w:cs="Times New Roman"/>
          <w:color w:val="E36C09" w:themeColor="accent6" w:themeShade="BF"/>
          <w:spacing w:val="2"/>
          <w:lang w:val="en-US" w:eastAsia="zh-CN"/>
        </w:rPr>
        <w:t>60.10</w:t>
      </w:r>
      <w:r>
        <w:rPr>
          <w:rFonts w:ascii="Times New Roman" w:hAnsi="Times New Roman" w:cs="Times New Roman"/>
          <w:color w:val="E36C09" w:themeColor="accent6" w:themeShade="BF"/>
          <w:spacing w:val="2"/>
        </w:rPr>
        <w:t>万元，其他费用</w:t>
      </w:r>
      <w:r>
        <w:rPr>
          <w:rFonts w:hint="eastAsia" w:ascii="Times New Roman" w:hAnsi="Times New Roman" w:cs="Times New Roman"/>
          <w:color w:val="E36C09" w:themeColor="accent6" w:themeShade="BF"/>
          <w:spacing w:val="2"/>
          <w:lang w:val="en-US" w:eastAsia="zh-CN"/>
        </w:rPr>
        <w:t>7.85</w:t>
      </w:r>
      <w:r>
        <w:rPr>
          <w:rFonts w:ascii="Times New Roman" w:hAnsi="Times New Roman" w:cs="Times New Roman"/>
          <w:color w:val="E36C09" w:themeColor="accent6" w:themeShade="BF"/>
          <w:spacing w:val="2"/>
        </w:rPr>
        <w:t>万元，监测与管护费</w:t>
      </w:r>
      <w:r>
        <w:rPr>
          <w:rFonts w:hint="eastAsia" w:ascii="Times New Roman" w:hAnsi="Times New Roman" w:cs="Times New Roman"/>
          <w:color w:val="E36C09" w:themeColor="accent6" w:themeShade="BF"/>
          <w:spacing w:val="2"/>
          <w:lang w:val="en-US" w:eastAsia="zh-CN"/>
        </w:rPr>
        <w:t>27.00</w:t>
      </w:r>
      <w:r>
        <w:rPr>
          <w:rFonts w:ascii="Times New Roman" w:hAnsi="Times New Roman" w:cs="Times New Roman"/>
          <w:color w:val="E36C09" w:themeColor="accent6" w:themeShade="BF"/>
          <w:spacing w:val="2"/>
        </w:rPr>
        <w:t>万元，预备费</w:t>
      </w:r>
      <w:r>
        <w:rPr>
          <w:rFonts w:hint="eastAsia" w:ascii="Times New Roman" w:hAnsi="Times New Roman" w:cs="Times New Roman"/>
          <w:color w:val="E36C09" w:themeColor="accent6" w:themeShade="BF"/>
          <w:spacing w:val="2"/>
          <w:lang w:val="en-US" w:eastAsia="zh-CN"/>
        </w:rPr>
        <w:t>8.84</w:t>
      </w:r>
      <w:r>
        <w:rPr>
          <w:rFonts w:ascii="Times New Roman" w:hAnsi="Times New Roman" w:cs="Times New Roman"/>
          <w:color w:val="E36C09" w:themeColor="accent6" w:themeShade="BF"/>
          <w:spacing w:val="2"/>
        </w:rPr>
        <w:t>万元。具体估算见下表。</w:t>
      </w:r>
    </w:p>
    <w:p w14:paraId="50A7BC36">
      <w:pPr>
        <w:tabs>
          <w:tab w:val="left" w:pos="3403"/>
        </w:tabs>
        <w:spacing w:before="28"/>
        <w:ind w:left="2" w:right="44"/>
        <w:jc w:val="center"/>
        <w:rPr>
          <w:rFonts w:ascii="Times New Roman" w:hAnsi="Times New Roman" w:cs="Times New Roman"/>
          <w:b/>
          <w:color w:val="E36C09" w:themeColor="accent6" w:themeShade="BF"/>
          <w:sz w:val="24"/>
          <w:szCs w:val="24"/>
        </w:rPr>
      </w:pPr>
      <w:r>
        <w:rPr>
          <w:rFonts w:ascii="Times New Roman" w:hAnsi="Times New Roman" w:cs="Times New Roman"/>
          <w:b/>
          <w:color w:val="E36C09" w:themeColor="accent6" w:themeShade="BF"/>
          <w:sz w:val="24"/>
          <w:szCs w:val="24"/>
        </w:rPr>
        <w:t>表6-6 矿区生态修复投资估算总表</w:t>
      </w:r>
    </w:p>
    <w:tbl>
      <w:tblPr>
        <w:tblStyle w:val="185"/>
        <w:tblW w:w="500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2275"/>
        <w:gridCol w:w="2275"/>
        <w:gridCol w:w="2275"/>
        <w:gridCol w:w="2275"/>
      </w:tblGrid>
      <w:tr w14:paraId="4DF7F48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blHeader/>
        </w:trPr>
        <w:tc>
          <w:tcPr>
            <w:tcW w:w="2287" w:type="dxa"/>
            <w:vAlign w:val="center"/>
          </w:tcPr>
          <w:p w14:paraId="77BA437A">
            <w:pPr>
              <w:pStyle w:val="156"/>
              <w:snapToGrid w:val="0"/>
              <w:spacing w:line="240" w:lineRule="auto"/>
              <w:ind w:left="110" w:right="1"/>
              <w:jc w:val="center"/>
              <w:rPr>
                <w:rFonts w:eastAsiaTheme="minorEastAsia"/>
                <w:b/>
                <w:color w:val="E36C09" w:themeColor="accent6" w:themeShade="BF"/>
                <w:lang w:eastAsia="en-US"/>
              </w:rPr>
            </w:pPr>
            <w:r>
              <w:rPr>
                <w:rFonts w:eastAsiaTheme="minorEastAsia"/>
                <w:b/>
                <w:color w:val="E36C09" w:themeColor="accent6" w:themeShade="BF"/>
                <w:lang w:eastAsia="en-US"/>
              </w:rPr>
              <w:t>序号</w:t>
            </w:r>
          </w:p>
        </w:tc>
        <w:tc>
          <w:tcPr>
            <w:tcW w:w="2287" w:type="dxa"/>
            <w:vAlign w:val="center"/>
          </w:tcPr>
          <w:p w14:paraId="3C19FCC3">
            <w:pPr>
              <w:pStyle w:val="156"/>
              <w:snapToGrid w:val="0"/>
              <w:spacing w:line="240" w:lineRule="auto"/>
              <w:ind w:left="110"/>
              <w:jc w:val="center"/>
              <w:rPr>
                <w:rFonts w:eastAsiaTheme="minorEastAsia"/>
                <w:b/>
                <w:color w:val="E36C09" w:themeColor="accent6" w:themeShade="BF"/>
                <w:lang w:eastAsia="en-US"/>
              </w:rPr>
            </w:pPr>
            <w:r>
              <w:rPr>
                <w:rFonts w:eastAsiaTheme="minorEastAsia"/>
                <w:b/>
                <w:color w:val="E36C09" w:themeColor="accent6" w:themeShade="BF"/>
                <w:lang w:eastAsia="en-US"/>
              </w:rPr>
              <w:t>工程或费用名称</w:t>
            </w:r>
          </w:p>
        </w:tc>
        <w:tc>
          <w:tcPr>
            <w:tcW w:w="2287" w:type="dxa"/>
            <w:vAlign w:val="center"/>
          </w:tcPr>
          <w:p w14:paraId="3C982228">
            <w:pPr>
              <w:pStyle w:val="156"/>
              <w:snapToGrid w:val="0"/>
              <w:spacing w:line="240" w:lineRule="auto"/>
              <w:ind w:left="110"/>
              <w:jc w:val="center"/>
              <w:rPr>
                <w:rFonts w:eastAsiaTheme="minorEastAsia"/>
                <w:b/>
                <w:color w:val="E36C09" w:themeColor="accent6" w:themeShade="BF"/>
                <w:lang w:eastAsia="en-US"/>
              </w:rPr>
            </w:pPr>
            <w:r>
              <w:rPr>
                <w:rFonts w:eastAsiaTheme="minorEastAsia"/>
                <w:b/>
                <w:color w:val="E36C09" w:themeColor="accent6" w:themeShade="BF"/>
                <w:lang w:eastAsia="en-US"/>
              </w:rPr>
              <w:t>费用（万元）</w:t>
            </w:r>
          </w:p>
        </w:tc>
        <w:tc>
          <w:tcPr>
            <w:tcW w:w="2287" w:type="dxa"/>
            <w:vAlign w:val="center"/>
          </w:tcPr>
          <w:p w14:paraId="0DBD651E">
            <w:pPr>
              <w:pStyle w:val="156"/>
              <w:snapToGrid w:val="0"/>
              <w:spacing w:line="240" w:lineRule="auto"/>
              <w:ind w:left="110"/>
              <w:jc w:val="center"/>
              <w:rPr>
                <w:rFonts w:eastAsiaTheme="minorEastAsia"/>
                <w:b/>
                <w:color w:val="E36C09" w:themeColor="accent6" w:themeShade="BF"/>
                <w:lang w:eastAsia="en-US"/>
              </w:rPr>
            </w:pPr>
            <w:r>
              <w:rPr>
                <w:rFonts w:eastAsiaTheme="minorEastAsia"/>
                <w:b/>
                <w:color w:val="E36C09" w:themeColor="accent6" w:themeShade="BF"/>
                <w:lang w:eastAsia="en-US"/>
              </w:rPr>
              <w:t>费率（%）</w:t>
            </w:r>
          </w:p>
        </w:tc>
      </w:tr>
      <w:tr w14:paraId="4AA13C2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01ED417A">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一</w:t>
            </w:r>
          </w:p>
        </w:tc>
        <w:tc>
          <w:tcPr>
            <w:tcW w:w="2287" w:type="dxa"/>
            <w:vAlign w:val="center"/>
          </w:tcPr>
          <w:p w14:paraId="4906353E">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工程施工费</w:t>
            </w:r>
          </w:p>
        </w:tc>
        <w:tc>
          <w:tcPr>
            <w:tcW w:w="2287" w:type="dxa"/>
            <w:vAlign w:val="center"/>
          </w:tcPr>
          <w:p w14:paraId="34081DFC">
            <w:pPr>
              <w:widowControl/>
              <w:topLinePunct/>
              <w:snapToGrid w:val="0"/>
              <w:spacing w:line="240" w:lineRule="auto"/>
              <w:jc w:val="center"/>
              <w:rPr>
                <w:rFonts w:hint="default" w:ascii="Times New Roman" w:hAnsi="Times New Roman" w:cs="Times New Roman" w:eastAsiaTheme="minorEastAsia"/>
                <w:color w:val="E36C09" w:themeColor="accent6" w:themeShade="BF"/>
                <w:kern w:val="0"/>
                <w:sz w:val="24"/>
                <w:szCs w:val="24"/>
                <w:lang w:val="en-US" w:eastAsia="zh-CN"/>
              </w:rPr>
            </w:pPr>
            <w:r>
              <w:rPr>
                <w:rFonts w:hint="eastAsia" w:ascii="Times New Roman" w:hAnsi="Times New Roman" w:cs="Times New Roman" w:eastAsiaTheme="minorEastAsia"/>
                <w:color w:val="E36C09" w:themeColor="accent6" w:themeShade="BF"/>
                <w:kern w:val="0"/>
                <w:sz w:val="24"/>
                <w:szCs w:val="24"/>
                <w:lang w:val="en-US" w:eastAsia="zh-CN"/>
              </w:rPr>
              <w:t>60.10</w:t>
            </w:r>
          </w:p>
        </w:tc>
        <w:tc>
          <w:tcPr>
            <w:tcW w:w="2287" w:type="dxa"/>
            <w:vAlign w:val="center"/>
          </w:tcPr>
          <w:p w14:paraId="7679C617">
            <w:pPr>
              <w:widowControl/>
              <w:topLinePunct/>
              <w:snapToGrid w:val="0"/>
              <w:spacing w:line="240" w:lineRule="auto"/>
              <w:jc w:val="center"/>
              <w:rPr>
                <w:rFonts w:hint="default" w:ascii="Times New Roman" w:hAnsi="Times New Roman" w:cs="Times New Roman" w:eastAsiaTheme="minorEastAsia"/>
                <w:color w:val="E36C09" w:themeColor="accent6" w:themeShade="BF"/>
                <w:kern w:val="0"/>
                <w:sz w:val="24"/>
                <w:szCs w:val="24"/>
                <w:lang w:val="en-US" w:eastAsia="en-US"/>
              </w:rPr>
            </w:pPr>
            <w:r>
              <w:rPr>
                <w:rFonts w:hint="eastAsia" w:ascii="Times New Roman" w:hAnsi="Times New Roman" w:cs="Times New Roman" w:eastAsiaTheme="minorEastAsia"/>
                <w:color w:val="E36C09" w:themeColor="accent6" w:themeShade="BF"/>
                <w:kern w:val="0"/>
                <w:sz w:val="24"/>
                <w:szCs w:val="24"/>
                <w:lang w:val="en-US" w:eastAsia="zh-CN"/>
              </w:rPr>
              <w:t xml:space="preserve">57.91 </w:t>
            </w:r>
          </w:p>
        </w:tc>
      </w:tr>
      <w:tr w14:paraId="2EC73B7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763A5DA3">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二</w:t>
            </w:r>
          </w:p>
        </w:tc>
        <w:tc>
          <w:tcPr>
            <w:tcW w:w="2287" w:type="dxa"/>
            <w:vAlign w:val="center"/>
          </w:tcPr>
          <w:p w14:paraId="641BA9F6">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其他费用</w:t>
            </w:r>
          </w:p>
        </w:tc>
        <w:tc>
          <w:tcPr>
            <w:tcW w:w="2287" w:type="dxa"/>
            <w:vAlign w:val="center"/>
          </w:tcPr>
          <w:p w14:paraId="57E9C4CE">
            <w:pPr>
              <w:widowControl/>
              <w:topLinePunct/>
              <w:snapToGrid w:val="0"/>
              <w:spacing w:line="240" w:lineRule="auto"/>
              <w:jc w:val="center"/>
              <w:rPr>
                <w:rFonts w:hint="default" w:ascii="Times New Roman" w:hAnsi="Times New Roman" w:cs="Times New Roman" w:eastAsiaTheme="minorEastAsia"/>
                <w:color w:val="E36C09" w:themeColor="accent6" w:themeShade="BF"/>
                <w:kern w:val="0"/>
                <w:sz w:val="24"/>
                <w:szCs w:val="24"/>
                <w:lang w:val="en-US" w:eastAsia="zh-CN"/>
              </w:rPr>
            </w:pPr>
            <w:r>
              <w:rPr>
                <w:rFonts w:hint="eastAsia" w:ascii="Times New Roman" w:hAnsi="Times New Roman" w:cs="Times New Roman" w:eastAsiaTheme="minorEastAsia"/>
                <w:color w:val="E36C09" w:themeColor="accent6" w:themeShade="BF"/>
                <w:kern w:val="0"/>
                <w:sz w:val="24"/>
                <w:szCs w:val="24"/>
                <w:lang w:val="en-US" w:eastAsia="zh-CN"/>
              </w:rPr>
              <w:t>7.85</w:t>
            </w:r>
          </w:p>
        </w:tc>
        <w:tc>
          <w:tcPr>
            <w:tcW w:w="2287" w:type="dxa"/>
            <w:vAlign w:val="center"/>
          </w:tcPr>
          <w:p w14:paraId="5B3F76D6">
            <w:pPr>
              <w:widowControl/>
              <w:topLinePunct/>
              <w:snapToGrid w:val="0"/>
              <w:spacing w:line="240" w:lineRule="auto"/>
              <w:jc w:val="center"/>
              <w:rPr>
                <w:rFonts w:hint="default" w:ascii="Times New Roman" w:hAnsi="Times New Roman" w:cs="Times New Roman" w:eastAsiaTheme="minorEastAsia"/>
                <w:color w:val="E36C09" w:themeColor="accent6" w:themeShade="BF"/>
                <w:kern w:val="0"/>
                <w:sz w:val="24"/>
                <w:szCs w:val="24"/>
                <w:lang w:val="en-US" w:eastAsia="en-US"/>
              </w:rPr>
            </w:pPr>
            <w:r>
              <w:rPr>
                <w:rFonts w:hint="eastAsia" w:ascii="Times New Roman" w:hAnsi="Times New Roman" w:cs="Times New Roman" w:eastAsiaTheme="minorEastAsia"/>
                <w:color w:val="E36C09" w:themeColor="accent6" w:themeShade="BF"/>
                <w:kern w:val="0"/>
                <w:sz w:val="24"/>
                <w:szCs w:val="24"/>
                <w:lang w:val="en-US" w:eastAsia="zh-CN"/>
              </w:rPr>
              <w:t xml:space="preserve">7.56 </w:t>
            </w:r>
          </w:p>
        </w:tc>
      </w:tr>
      <w:tr w14:paraId="1A0F3F8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7C8C5B41">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三</w:t>
            </w:r>
          </w:p>
        </w:tc>
        <w:tc>
          <w:tcPr>
            <w:tcW w:w="2287" w:type="dxa"/>
            <w:vAlign w:val="center"/>
          </w:tcPr>
          <w:p w14:paraId="21B0FEDA">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监测与管护费</w:t>
            </w:r>
          </w:p>
        </w:tc>
        <w:tc>
          <w:tcPr>
            <w:tcW w:w="2287" w:type="dxa"/>
            <w:vAlign w:val="center"/>
          </w:tcPr>
          <w:p w14:paraId="60C8B101">
            <w:pPr>
              <w:widowControl/>
              <w:topLinePunct/>
              <w:snapToGrid w:val="0"/>
              <w:spacing w:line="240" w:lineRule="auto"/>
              <w:jc w:val="center"/>
              <w:rPr>
                <w:rFonts w:hint="default" w:ascii="Times New Roman" w:hAnsi="Times New Roman" w:cs="Times New Roman" w:eastAsiaTheme="minorEastAsia"/>
                <w:color w:val="E36C09" w:themeColor="accent6" w:themeShade="BF"/>
                <w:kern w:val="0"/>
                <w:sz w:val="24"/>
                <w:szCs w:val="24"/>
                <w:lang w:val="en-US" w:eastAsia="zh-CN"/>
              </w:rPr>
            </w:pPr>
            <w:r>
              <w:rPr>
                <w:rFonts w:hint="eastAsia" w:ascii="Times New Roman" w:hAnsi="Times New Roman" w:cs="Times New Roman" w:eastAsiaTheme="minorEastAsia"/>
                <w:color w:val="E36C09" w:themeColor="accent6" w:themeShade="BF"/>
                <w:kern w:val="0"/>
                <w:sz w:val="24"/>
                <w:szCs w:val="24"/>
                <w:lang w:val="en-US" w:eastAsia="zh-CN"/>
              </w:rPr>
              <w:t>27.00</w:t>
            </w:r>
          </w:p>
        </w:tc>
        <w:tc>
          <w:tcPr>
            <w:tcW w:w="2287" w:type="dxa"/>
            <w:vMerge w:val="restart"/>
            <w:vAlign w:val="center"/>
          </w:tcPr>
          <w:p w14:paraId="0F654B91">
            <w:pPr>
              <w:widowControl/>
              <w:topLinePunct/>
              <w:snapToGrid w:val="0"/>
              <w:spacing w:line="240" w:lineRule="auto"/>
              <w:jc w:val="center"/>
              <w:rPr>
                <w:rFonts w:hint="default" w:ascii="Times New Roman" w:hAnsi="Times New Roman" w:cs="Times New Roman" w:eastAsiaTheme="minorEastAsia"/>
                <w:color w:val="E36C09" w:themeColor="accent6" w:themeShade="BF"/>
                <w:kern w:val="0"/>
                <w:sz w:val="24"/>
                <w:szCs w:val="24"/>
                <w:lang w:val="en-US" w:eastAsia="en-US"/>
              </w:rPr>
            </w:pPr>
            <w:r>
              <w:rPr>
                <w:rFonts w:hint="eastAsia" w:ascii="Times New Roman" w:hAnsi="Times New Roman" w:cs="Times New Roman" w:eastAsiaTheme="minorEastAsia"/>
                <w:color w:val="E36C09" w:themeColor="accent6" w:themeShade="BF"/>
                <w:kern w:val="0"/>
                <w:sz w:val="24"/>
                <w:szCs w:val="24"/>
                <w:lang w:val="en-US" w:eastAsia="zh-CN"/>
              </w:rPr>
              <w:t xml:space="preserve">26.01 </w:t>
            </w:r>
          </w:p>
        </w:tc>
      </w:tr>
      <w:tr w14:paraId="1E957D8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53C8080C">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（一）</w:t>
            </w:r>
          </w:p>
        </w:tc>
        <w:tc>
          <w:tcPr>
            <w:tcW w:w="2287" w:type="dxa"/>
            <w:vAlign w:val="center"/>
          </w:tcPr>
          <w:p w14:paraId="22B0BAD0">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监测费</w:t>
            </w:r>
          </w:p>
        </w:tc>
        <w:tc>
          <w:tcPr>
            <w:tcW w:w="2287" w:type="dxa"/>
            <w:vAlign w:val="center"/>
          </w:tcPr>
          <w:p w14:paraId="45A39842">
            <w:pPr>
              <w:widowControl/>
              <w:topLinePunct/>
              <w:snapToGrid w:val="0"/>
              <w:spacing w:line="240" w:lineRule="auto"/>
              <w:jc w:val="center"/>
              <w:rPr>
                <w:rFonts w:hint="default" w:ascii="Times New Roman" w:hAnsi="Times New Roman" w:cs="Times New Roman" w:eastAsiaTheme="minorEastAsia"/>
                <w:color w:val="E36C09" w:themeColor="accent6" w:themeShade="BF"/>
                <w:kern w:val="0"/>
                <w:sz w:val="24"/>
                <w:szCs w:val="24"/>
                <w:lang w:val="en-US" w:eastAsia="zh-CN"/>
              </w:rPr>
            </w:pPr>
            <w:r>
              <w:rPr>
                <w:rFonts w:hint="eastAsia" w:ascii="Times New Roman" w:hAnsi="Times New Roman" w:cs="Times New Roman" w:eastAsiaTheme="minorEastAsia"/>
                <w:color w:val="E36C09" w:themeColor="accent6" w:themeShade="BF"/>
                <w:kern w:val="0"/>
                <w:sz w:val="24"/>
                <w:szCs w:val="24"/>
                <w:lang w:val="en-US" w:eastAsia="zh-CN"/>
              </w:rPr>
              <w:t>19.48</w:t>
            </w:r>
          </w:p>
        </w:tc>
        <w:tc>
          <w:tcPr>
            <w:tcW w:w="2287" w:type="dxa"/>
            <w:vMerge w:val="continue"/>
            <w:vAlign w:val="center"/>
          </w:tcPr>
          <w:p w14:paraId="068768D4">
            <w:pPr>
              <w:widowControl/>
              <w:topLinePunct/>
              <w:snapToGrid w:val="0"/>
              <w:spacing w:line="240" w:lineRule="auto"/>
              <w:jc w:val="center"/>
              <w:rPr>
                <w:rFonts w:hint="default" w:ascii="Times New Roman" w:hAnsi="Times New Roman" w:cs="Times New Roman" w:eastAsiaTheme="minorEastAsia"/>
                <w:color w:val="E36C09" w:themeColor="accent6" w:themeShade="BF"/>
                <w:kern w:val="0"/>
                <w:sz w:val="24"/>
                <w:szCs w:val="24"/>
                <w:lang w:val="en-US" w:eastAsia="en-US"/>
              </w:rPr>
            </w:pPr>
          </w:p>
        </w:tc>
      </w:tr>
      <w:tr w14:paraId="6F78DA1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5399BEA1">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（二）</w:t>
            </w:r>
          </w:p>
        </w:tc>
        <w:tc>
          <w:tcPr>
            <w:tcW w:w="2287" w:type="dxa"/>
            <w:vAlign w:val="center"/>
          </w:tcPr>
          <w:p w14:paraId="52684F58">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管护费</w:t>
            </w:r>
          </w:p>
        </w:tc>
        <w:tc>
          <w:tcPr>
            <w:tcW w:w="2287" w:type="dxa"/>
            <w:vAlign w:val="center"/>
          </w:tcPr>
          <w:p w14:paraId="78B34790">
            <w:pPr>
              <w:widowControl/>
              <w:topLinePunct/>
              <w:snapToGrid w:val="0"/>
              <w:spacing w:line="240" w:lineRule="auto"/>
              <w:jc w:val="center"/>
              <w:rPr>
                <w:rFonts w:hint="default" w:ascii="Times New Roman" w:hAnsi="Times New Roman" w:cs="Times New Roman" w:eastAsiaTheme="minorEastAsia"/>
                <w:color w:val="E36C09" w:themeColor="accent6" w:themeShade="BF"/>
                <w:kern w:val="0"/>
                <w:sz w:val="24"/>
                <w:szCs w:val="24"/>
                <w:lang w:val="en-US" w:eastAsia="zh-CN"/>
              </w:rPr>
            </w:pPr>
            <w:r>
              <w:rPr>
                <w:rFonts w:hint="eastAsia" w:ascii="Times New Roman" w:hAnsi="Times New Roman" w:cs="Times New Roman" w:eastAsiaTheme="minorEastAsia"/>
                <w:color w:val="E36C09" w:themeColor="accent6" w:themeShade="BF"/>
                <w:kern w:val="0"/>
                <w:sz w:val="24"/>
                <w:szCs w:val="24"/>
                <w:lang w:val="en-US" w:eastAsia="zh-CN"/>
              </w:rPr>
              <w:t>7.52</w:t>
            </w:r>
          </w:p>
        </w:tc>
        <w:tc>
          <w:tcPr>
            <w:tcW w:w="2287" w:type="dxa"/>
            <w:vMerge w:val="continue"/>
            <w:vAlign w:val="center"/>
          </w:tcPr>
          <w:p w14:paraId="2B9A24AF">
            <w:pPr>
              <w:widowControl/>
              <w:topLinePunct/>
              <w:snapToGrid w:val="0"/>
              <w:spacing w:line="240" w:lineRule="auto"/>
              <w:jc w:val="center"/>
              <w:rPr>
                <w:rFonts w:hint="default" w:ascii="Times New Roman" w:hAnsi="Times New Roman" w:cs="Times New Roman" w:eastAsiaTheme="minorEastAsia"/>
                <w:color w:val="E36C09" w:themeColor="accent6" w:themeShade="BF"/>
                <w:kern w:val="0"/>
                <w:sz w:val="24"/>
                <w:szCs w:val="24"/>
                <w:lang w:val="en-US" w:eastAsia="en-US"/>
              </w:rPr>
            </w:pPr>
          </w:p>
        </w:tc>
      </w:tr>
      <w:tr w14:paraId="00B5920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102AB11D">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四</w:t>
            </w:r>
          </w:p>
        </w:tc>
        <w:tc>
          <w:tcPr>
            <w:tcW w:w="2287" w:type="dxa"/>
            <w:vAlign w:val="center"/>
          </w:tcPr>
          <w:p w14:paraId="3F79253F">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预备费</w:t>
            </w:r>
          </w:p>
        </w:tc>
        <w:tc>
          <w:tcPr>
            <w:tcW w:w="2287" w:type="dxa"/>
            <w:shd w:val="clear" w:color="auto" w:fill="auto"/>
            <w:vAlign w:val="center"/>
          </w:tcPr>
          <w:p w14:paraId="037D1DC0">
            <w:pPr>
              <w:widowControl/>
              <w:topLinePunct/>
              <w:snapToGrid w:val="0"/>
              <w:spacing w:line="240" w:lineRule="auto"/>
              <w:jc w:val="center"/>
              <w:rPr>
                <w:rFonts w:hint="default" w:ascii="Times New Roman" w:hAnsi="Times New Roman" w:cs="Times New Roman" w:eastAsiaTheme="minorEastAsia"/>
                <w:color w:val="E36C09" w:themeColor="accent6" w:themeShade="BF"/>
                <w:kern w:val="0"/>
                <w:sz w:val="24"/>
                <w:szCs w:val="24"/>
                <w:lang w:val="en-US" w:eastAsia="zh-CN"/>
              </w:rPr>
            </w:pPr>
            <w:r>
              <w:rPr>
                <w:rFonts w:hint="eastAsia" w:ascii="Times New Roman" w:hAnsi="Times New Roman" w:cs="Times New Roman" w:eastAsiaTheme="minorEastAsia"/>
                <w:color w:val="E36C09" w:themeColor="accent6" w:themeShade="BF"/>
                <w:kern w:val="0"/>
                <w:sz w:val="24"/>
                <w:szCs w:val="24"/>
                <w:lang w:val="en-US" w:eastAsia="zh-CN"/>
              </w:rPr>
              <w:t>8.84</w:t>
            </w:r>
          </w:p>
        </w:tc>
        <w:tc>
          <w:tcPr>
            <w:tcW w:w="2287" w:type="dxa"/>
            <w:vMerge w:val="restart"/>
            <w:shd w:val="clear" w:color="auto" w:fill="auto"/>
            <w:vAlign w:val="center"/>
          </w:tcPr>
          <w:p w14:paraId="47677E1E">
            <w:pPr>
              <w:widowControl/>
              <w:topLinePunct/>
              <w:snapToGrid w:val="0"/>
              <w:spacing w:line="240" w:lineRule="auto"/>
              <w:jc w:val="center"/>
              <w:rPr>
                <w:rFonts w:hint="default" w:ascii="Times New Roman" w:hAnsi="Times New Roman" w:cs="Times New Roman" w:eastAsiaTheme="minorEastAsia"/>
                <w:color w:val="E36C09" w:themeColor="accent6" w:themeShade="BF"/>
                <w:kern w:val="0"/>
                <w:sz w:val="24"/>
                <w:szCs w:val="24"/>
                <w:lang w:val="en-US" w:eastAsia="zh-CN"/>
              </w:rPr>
            </w:pPr>
            <w:r>
              <w:rPr>
                <w:rFonts w:hint="eastAsia" w:ascii="Times New Roman" w:hAnsi="Times New Roman" w:cs="Times New Roman" w:eastAsiaTheme="minorEastAsia"/>
                <w:color w:val="E36C09" w:themeColor="accent6" w:themeShade="BF"/>
                <w:kern w:val="0"/>
                <w:sz w:val="24"/>
                <w:szCs w:val="24"/>
                <w:lang w:val="en-US" w:eastAsia="zh-CN"/>
              </w:rPr>
              <w:t xml:space="preserve">8.52 </w:t>
            </w:r>
          </w:p>
        </w:tc>
      </w:tr>
      <w:tr w14:paraId="344987D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5AAD5A12">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（一）</w:t>
            </w:r>
          </w:p>
        </w:tc>
        <w:tc>
          <w:tcPr>
            <w:tcW w:w="2287" w:type="dxa"/>
            <w:vAlign w:val="center"/>
          </w:tcPr>
          <w:p w14:paraId="0AB47D80">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基本预备费</w:t>
            </w:r>
          </w:p>
        </w:tc>
        <w:tc>
          <w:tcPr>
            <w:tcW w:w="2287" w:type="dxa"/>
            <w:vAlign w:val="center"/>
          </w:tcPr>
          <w:p w14:paraId="1D41E9B9">
            <w:pPr>
              <w:widowControl/>
              <w:topLinePunct/>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r>
              <w:rPr>
                <w:rFonts w:hint="eastAsia" w:ascii="Times New Roman" w:hAnsi="Times New Roman" w:eastAsia="宋体" w:cs="Times New Roman"/>
                <w:color w:val="E36C09" w:themeColor="accent6" w:themeShade="BF"/>
                <w:kern w:val="0"/>
                <w:sz w:val="24"/>
                <w:szCs w:val="24"/>
                <w:lang w:val="en-US" w:eastAsia="zh-CN"/>
              </w:rPr>
              <w:t xml:space="preserve">5.44 </w:t>
            </w:r>
          </w:p>
        </w:tc>
        <w:tc>
          <w:tcPr>
            <w:tcW w:w="2287" w:type="dxa"/>
            <w:vMerge w:val="continue"/>
            <w:vAlign w:val="center"/>
          </w:tcPr>
          <w:p w14:paraId="173BF770">
            <w:pPr>
              <w:widowControl/>
              <w:topLinePunct/>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p>
        </w:tc>
      </w:tr>
      <w:tr w14:paraId="0041381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25815D20">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（二）</w:t>
            </w:r>
          </w:p>
        </w:tc>
        <w:tc>
          <w:tcPr>
            <w:tcW w:w="2287" w:type="dxa"/>
            <w:vAlign w:val="center"/>
          </w:tcPr>
          <w:p w14:paraId="2E282F81">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风险金</w:t>
            </w:r>
          </w:p>
        </w:tc>
        <w:tc>
          <w:tcPr>
            <w:tcW w:w="2287" w:type="dxa"/>
            <w:vAlign w:val="center"/>
          </w:tcPr>
          <w:p w14:paraId="40ECC460">
            <w:pPr>
              <w:widowControl/>
              <w:topLinePunct/>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r>
              <w:rPr>
                <w:rFonts w:hint="eastAsia" w:ascii="Times New Roman" w:hAnsi="Times New Roman" w:eastAsia="宋体" w:cs="Times New Roman"/>
                <w:color w:val="E36C09" w:themeColor="accent6" w:themeShade="BF"/>
                <w:kern w:val="0"/>
                <w:sz w:val="24"/>
                <w:szCs w:val="24"/>
                <w:lang w:val="en-US" w:eastAsia="zh-CN"/>
              </w:rPr>
              <w:t xml:space="preserve">3.40 </w:t>
            </w:r>
          </w:p>
        </w:tc>
        <w:tc>
          <w:tcPr>
            <w:tcW w:w="2287" w:type="dxa"/>
            <w:vMerge w:val="continue"/>
            <w:vAlign w:val="center"/>
          </w:tcPr>
          <w:p w14:paraId="76369142">
            <w:pPr>
              <w:widowControl/>
              <w:topLinePunct/>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p>
        </w:tc>
      </w:tr>
      <w:tr w14:paraId="40F7E81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7B308AB0">
            <w:pPr>
              <w:pStyle w:val="156"/>
              <w:snapToGrid w:val="0"/>
              <w:spacing w:line="240" w:lineRule="auto"/>
              <w:ind w:left="110" w:right="1"/>
              <w:jc w:val="center"/>
              <w:rPr>
                <w:rFonts w:eastAsiaTheme="minorEastAsia"/>
                <w:color w:val="E36C09" w:themeColor="accent6" w:themeShade="BF"/>
                <w:lang w:eastAsia="en-US"/>
              </w:rPr>
            </w:pPr>
            <w:r>
              <w:rPr>
                <w:rFonts w:eastAsiaTheme="minorEastAsia"/>
                <w:color w:val="E36C09" w:themeColor="accent6" w:themeShade="BF"/>
                <w:lang w:eastAsia="en-US"/>
              </w:rPr>
              <w:t>五</w:t>
            </w:r>
          </w:p>
        </w:tc>
        <w:tc>
          <w:tcPr>
            <w:tcW w:w="2287" w:type="dxa"/>
            <w:vAlign w:val="center"/>
          </w:tcPr>
          <w:p w14:paraId="7B3B43C8">
            <w:pPr>
              <w:pStyle w:val="156"/>
              <w:snapToGrid w:val="0"/>
              <w:spacing w:line="240" w:lineRule="auto"/>
              <w:ind w:left="110"/>
              <w:jc w:val="center"/>
              <w:rPr>
                <w:rFonts w:eastAsiaTheme="minorEastAsia"/>
                <w:color w:val="E36C09" w:themeColor="accent6" w:themeShade="BF"/>
                <w:lang w:eastAsia="en-US"/>
              </w:rPr>
            </w:pPr>
            <w:r>
              <w:rPr>
                <w:rFonts w:eastAsiaTheme="minorEastAsia"/>
                <w:color w:val="E36C09" w:themeColor="accent6" w:themeShade="BF"/>
                <w:lang w:eastAsia="en-US"/>
              </w:rPr>
              <w:t>总投资</w:t>
            </w:r>
          </w:p>
        </w:tc>
        <w:tc>
          <w:tcPr>
            <w:tcW w:w="2287" w:type="dxa"/>
            <w:vAlign w:val="center"/>
          </w:tcPr>
          <w:p w14:paraId="68507944">
            <w:pPr>
              <w:widowControl/>
              <w:topLinePunct/>
              <w:snapToGrid w:val="0"/>
              <w:spacing w:line="240" w:lineRule="auto"/>
              <w:jc w:val="center"/>
              <w:rPr>
                <w:rFonts w:hint="default" w:ascii="Times New Roman" w:hAnsi="Times New Roman" w:cs="Times New Roman" w:eastAsiaTheme="minorEastAsia"/>
                <w:color w:val="E36C09" w:themeColor="accent6" w:themeShade="BF"/>
                <w:kern w:val="0"/>
                <w:sz w:val="24"/>
                <w:szCs w:val="24"/>
                <w:lang w:val="en-US" w:eastAsia="zh-CN"/>
              </w:rPr>
            </w:pPr>
            <w:r>
              <w:rPr>
                <w:rFonts w:hint="eastAsia" w:ascii="Times New Roman" w:hAnsi="Times New Roman" w:cs="Times New Roman" w:eastAsiaTheme="minorEastAsia"/>
                <w:color w:val="E36C09" w:themeColor="accent6" w:themeShade="BF"/>
                <w:kern w:val="0"/>
                <w:sz w:val="24"/>
                <w:szCs w:val="24"/>
                <w:lang w:val="en-US" w:eastAsia="zh-CN"/>
              </w:rPr>
              <w:t>103.79</w:t>
            </w:r>
          </w:p>
        </w:tc>
        <w:tc>
          <w:tcPr>
            <w:tcW w:w="2287" w:type="dxa"/>
            <w:vAlign w:val="center"/>
          </w:tcPr>
          <w:p w14:paraId="3A2FD2FB">
            <w:pPr>
              <w:widowControl/>
              <w:topLinePunct/>
              <w:snapToGrid w:val="0"/>
              <w:spacing w:line="240" w:lineRule="auto"/>
              <w:jc w:val="center"/>
              <w:rPr>
                <w:rFonts w:ascii="Times New Roman" w:hAnsi="Times New Roman" w:cs="Times New Roman" w:eastAsiaTheme="minorEastAsia"/>
                <w:color w:val="E36C09" w:themeColor="accent6" w:themeShade="BF"/>
                <w:kern w:val="0"/>
                <w:sz w:val="24"/>
                <w:szCs w:val="24"/>
                <w:lang w:eastAsia="en-US"/>
              </w:rPr>
            </w:pPr>
            <w:r>
              <w:rPr>
                <w:rFonts w:ascii="Times New Roman" w:hAnsi="Times New Roman" w:cs="Times New Roman" w:eastAsiaTheme="minorEastAsia"/>
                <w:color w:val="E36C09" w:themeColor="accent6" w:themeShade="BF"/>
                <w:kern w:val="0"/>
                <w:sz w:val="24"/>
                <w:szCs w:val="24"/>
                <w:lang w:eastAsia="en-US"/>
              </w:rPr>
              <w:t>100.00</w:t>
            </w:r>
          </w:p>
        </w:tc>
      </w:tr>
    </w:tbl>
    <w:p w14:paraId="5C2BB785">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表6-7 工程措施费估算表 </w:t>
      </w:r>
    </w:p>
    <w:tbl>
      <w:tblPr>
        <w:tblStyle w:val="42"/>
        <w:tblW w:w="5031" w:type="pct"/>
        <w:tblInd w:w="0" w:type="dxa"/>
        <w:tblLayout w:type="fixed"/>
        <w:tblCellMar>
          <w:top w:w="0" w:type="dxa"/>
          <w:left w:w="0" w:type="dxa"/>
          <w:bottom w:w="0" w:type="dxa"/>
          <w:right w:w="0" w:type="dxa"/>
        </w:tblCellMar>
      </w:tblPr>
      <w:tblGrid>
        <w:gridCol w:w="702"/>
        <w:gridCol w:w="1051"/>
        <w:gridCol w:w="1948"/>
        <w:gridCol w:w="1036"/>
        <w:gridCol w:w="1072"/>
        <w:gridCol w:w="1861"/>
        <w:gridCol w:w="1486"/>
      </w:tblGrid>
      <w:tr w14:paraId="36B7E16F">
        <w:tblPrEx>
          <w:tblCellMar>
            <w:top w:w="0" w:type="dxa"/>
            <w:left w:w="0" w:type="dxa"/>
            <w:bottom w:w="0" w:type="dxa"/>
            <w:right w:w="0" w:type="dxa"/>
          </w:tblCellMar>
        </w:tblPrEx>
        <w:trPr>
          <w:trHeight w:val="23" w:hRule="atLeast"/>
          <w:tblHeader/>
        </w:trPr>
        <w:tc>
          <w:tcPr>
            <w:tcW w:w="700" w:type="dxa"/>
            <w:tcBorders>
              <w:top w:val="single" w:color="000000" w:sz="12" w:space="0"/>
              <w:left w:val="single" w:color="000000" w:sz="12" w:space="0"/>
              <w:bottom w:val="single" w:color="000000" w:sz="4" w:space="0"/>
              <w:right w:val="single" w:color="000000" w:sz="4" w:space="0"/>
            </w:tcBorders>
            <w:vAlign w:val="center"/>
          </w:tcPr>
          <w:p w14:paraId="10AAD022">
            <w:pPr>
              <w:widowControl/>
              <w:topLinePunct/>
              <w:snapToGrid w:val="0"/>
              <w:spacing w:line="240" w:lineRule="auto"/>
              <w:jc w:val="center"/>
              <w:rPr>
                <w:rFonts w:ascii="Times New Roman" w:hAnsi="Times New Roman" w:cs="Times New Roman"/>
                <w:color w:val="000000" w:themeColor="text1"/>
                <w:kern w:val="0"/>
                <w:sz w:val="24"/>
                <w:szCs w:val="24"/>
                <w:highlight w:val="yellow"/>
              </w:rPr>
            </w:pPr>
            <w:r>
              <w:rPr>
                <w:rFonts w:ascii="Times New Roman" w:hAnsi="Times New Roman" w:cs="Times New Roman"/>
                <w:b/>
                <w:color w:val="000000" w:themeColor="text1"/>
                <w:kern w:val="0"/>
                <w:sz w:val="24"/>
                <w:szCs w:val="24"/>
              </w:rPr>
              <w:t>序号</w:t>
            </w:r>
          </w:p>
        </w:tc>
        <w:tc>
          <w:tcPr>
            <w:tcW w:w="1048" w:type="dxa"/>
            <w:tcBorders>
              <w:top w:val="single" w:color="000000" w:sz="12" w:space="0"/>
              <w:left w:val="single" w:color="000000" w:sz="4" w:space="0"/>
              <w:bottom w:val="single" w:color="000000" w:sz="4" w:space="0"/>
              <w:right w:val="single" w:color="000000" w:sz="4" w:space="0"/>
            </w:tcBorders>
            <w:vAlign w:val="center"/>
          </w:tcPr>
          <w:p w14:paraId="0F1EC40D">
            <w:pPr>
              <w:widowControl/>
              <w:topLinePunct/>
              <w:snapToGrid w:val="0"/>
              <w:spacing w:line="240" w:lineRule="auto"/>
              <w:jc w:val="center"/>
              <w:rPr>
                <w:rFonts w:ascii="Times New Roman" w:hAnsi="Times New Roman" w:cs="Times New Roman"/>
                <w:color w:val="000000" w:themeColor="text1"/>
                <w:kern w:val="0"/>
                <w:sz w:val="24"/>
                <w:szCs w:val="24"/>
                <w:highlight w:val="yellow"/>
              </w:rPr>
            </w:pPr>
            <w:r>
              <w:rPr>
                <w:rFonts w:ascii="Times New Roman" w:hAnsi="Times New Roman" w:cs="Times New Roman"/>
                <w:b/>
                <w:color w:val="000000" w:themeColor="text1"/>
                <w:kern w:val="0"/>
                <w:sz w:val="24"/>
                <w:szCs w:val="24"/>
              </w:rPr>
              <w:t>定额编号</w:t>
            </w:r>
          </w:p>
        </w:tc>
        <w:tc>
          <w:tcPr>
            <w:tcW w:w="1942" w:type="dxa"/>
            <w:tcBorders>
              <w:top w:val="single" w:color="000000" w:sz="12" w:space="0"/>
              <w:left w:val="single" w:color="000000" w:sz="4" w:space="0"/>
              <w:bottom w:val="single" w:color="000000" w:sz="4" w:space="0"/>
              <w:right w:val="single" w:color="000000" w:sz="4" w:space="0"/>
            </w:tcBorders>
            <w:vAlign w:val="center"/>
          </w:tcPr>
          <w:p w14:paraId="7B40EA23">
            <w:pPr>
              <w:widowControl/>
              <w:topLinePunct/>
              <w:snapToGrid w:val="0"/>
              <w:spacing w:line="240" w:lineRule="auto"/>
              <w:jc w:val="center"/>
              <w:rPr>
                <w:rFonts w:ascii="Times New Roman" w:hAnsi="Times New Roman" w:cs="Times New Roman"/>
                <w:color w:val="000000" w:themeColor="text1"/>
                <w:kern w:val="0"/>
                <w:sz w:val="24"/>
                <w:szCs w:val="24"/>
                <w:highlight w:val="yellow"/>
              </w:rPr>
            </w:pPr>
            <w:r>
              <w:rPr>
                <w:rFonts w:ascii="Times New Roman" w:hAnsi="Times New Roman" w:cs="Times New Roman"/>
                <w:b/>
                <w:color w:val="000000" w:themeColor="text1"/>
                <w:kern w:val="0"/>
                <w:sz w:val="24"/>
                <w:szCs w:val="24"/>
              </w:rPr>
              <w:t>工程或费用名称</w:t>
            </w:r>
          </w:p>
        </w:tc>
        <w:tc>
          <w:tcPr>
            <w:tcW w:w="1033" w:type="dxa"/>
            <w:tcBorders>
              <w:top w:val="single" w:color="000000" w:sz="12" w:space="0"/>
              <w:left w:val="single" w:color="000000" w:sz="4" w:space="0"/>
              <w:bottom w:val="single" w:color="000000" w:sz="4" w:space="0"/>
              <w:right w:val="single" w:color="000000" w:sz="4" w:space="0"/>
            </w:tcBorders>
            <w:vAlign w:val="center"/>
          </w:tcPr>
          <w:p w14:paraId="350F07F7">
            <w:pPr>
              <w:widowControl/>
              <w:topLinePunct/>
              <w:snapToGrid w:val="0"/>
              <w:spacing w:line="240" w:lineRule="auto"/>
              <w:jc w:val="center"/>
              <w:rPr>
                <w:rFonts w:ascii="Times New Roman" w:hAnsi="Times New Roman" w:cs="Times New Roman"/>
                <w:color w:val="000000" w:themeColor="text1"/>
                <w:kern w:val="0"/>
                <w:sz w:val="24"/>
                <w:szCs w:val="24"/>
                <w:highlight w:val="yellow"/>
              </w:rPr>
            </w:pPr>
            <w:r>
              <w:rPr>
                <w:rFonts w:ascii="Times New Roman" w:hAnsi="Times New Roman" w:cs="Times New Roman"/>
                <w:b/>
                <w:color w:val="000000" w:themeColor="text1"/>
                <w:kern w:val="0"/>
                <w:sz w:val="24"/>
                <w:szCs w:val="24"/>
              </w:rPr>
              <w:t>计量单位</w:t>
            </w:r>
          </w:p>
        </w:tc>
        <w:tc>
          <w:tcPr>
            <w:tcW w:w="1069" w:type="dxa"/>
            <w:tcBorders>
              <w:top w:val="single" w:color="000000" w:sz="12" w:space="0"/>
              <w:left w:val="single" w:color="000000" w:sz="4" w:space="0"/>
              <w:bottom w:val="single" w:color="000000" w:sz="4" w:space="0"/>
              <w:right w:val="single" w:color="000000" w:sz="4" w:space="0"/>
            </w:tcBorders>
            <w:vAlign w:val="center"/>
          </w:tcPr>
          <w:p w14:paraId="47469452">
            <w:pPr>
              <w:widowControl/>
              <w:topLinePunct/>
              <w:snapToGrid w:val="0"/>
              <w:spacing w:line="240" w:lineRule="auto"/>
              <w:jc w:val="center"/>
              <w:rPr>
                <w:rFonts w:ascii="Times New Roman" w:hAnsi="Times New Roman" w:cs="Times New Roman"/>
                <w:color w:val="000000" w:themeColor="text1"/>
                <w:kern w:val="0"/>
                <w:sz w:val="24"/>
                <w:szCs w:val="24"/>
                <w:highlight w:val="yellow"/>
              </w:rPr>
            </w:pPr>
            <w:r>
              <w:rPr>
                <w:rFonts w:ascii="Times New Roman" w:hAnsi="Times New Roman" w:cs="Times New Roman"/>
                <w:b/>
                <w:color w:val="000000" w:themeColor="text1"/>
                <w:kern w:val="0"/>
                <w:sz w:val="24"/>
                <w:szCs w:val="24"/>
              </w:rPr>
              <w:t>工程量</w:t>
            </w:r>
          </w:p>
        </w:tc>
        <w:tc>
          <w:tcPr>
            <w:tcW w:w="1855" w:type="dxa"/>
            <w:tcBorders>
              <w:top w:val="single" w:color="000000" w:sz="12" w:space="0"/>
              <w:left w:val="single" w:color="000000" w:sz="4" w:space="0"/>
              <w:bottom w:val="single" w:color="000000" w:sz="4" w:space="0"/>
              <w:right w:val="single" w:color="000000" w:sz="4" w:space="0"/>
            </w:tcBorders>
            <w:vAlign w:val="center"/>
          </w:tcPr>
          <w:p w14:paraId="729C6286">
            <w:pPr>
              <w:widowControl/>
              <w:topLinePunct/>
              <w:snapToGrid w:val="0"/>
              <w:spacing w:line="240" w:lineRule="auto"/>
              <w:jc w:val="center"/>
              <w:rPr>
                <w:rFonts w:ascii="Times New Roman" w:hAnsi="Times New Roman" w:cs="Times New Roman"/>
                <w:color w:val="000000" w:themeColor="text1"/>
                <w:kern w:val="0"/>
                <w:sz w:val="24"/>
                <w:szCs w:val="24"/>
                <w:highlight w:val="yellow"/>
              </w:rPr>
            </w:pPr>
            <w:r>
              <w:rPr>
                <w:rFonts w:ascii="Times New Roman" w:hAnsi="Times New Roman" w:cs="Times New Roman"/>
                <w:b/>
                <w:color w:val="000000" w:themeColor="text1"/>
                <w:kern w:val="0"/>
                <w:sz w:val="24"/>
                <w:szCs w:val="24"/>
              </w:rPr>
              <w:t>综合单价（元）</w:t>
            </w:r>
          </w:p>
        </w:tc>
        <w:tc>
          <w:tcPr>
            <w:tcW w:w="1481" w:type="dxa"/>
            <w:tcBorders>
              <w:top w:val="single" w:color="000000" w:sz="12" w:space="0"/>
              <w:left w:val="single" w:color="000000" w:sz="4" w:space="0"/>
              <w:bottom w:val="single" w:color="000000" w:sz="4" w:space="0"/>
              <w:right w:val="single" w:color="000000" w:sz="12" w:space="0"/>
            </w:tcBorders>
            <w:vAlign w:val="center"/>
          </w:tcPr>
          <w:p w14:paraId="3E6C2FE7">
            <w:pPr>
              <w:widowControl/>
              <w:topLinePunct/>
              <w:snapToGrid w:val="0"/>
              <w:spacing w:line="240" w:lineRule="auto"/>
              <w:jc w:val="center"/>
              <w:rPr>
                <w:rFonts w:ascii="Times New Roman" w:hAnsi="Times New Roman" w:cs="Times New Roman"/>
                <w:color w:val="000000" w:themeColor="text1"/>
                <w:kern w:val="0"/>
                <w:sz w:val="24"/>
                <w:szCs w:val="24"/>
                <w:highlight w:val="yellow"/>
              </w:rPr>
            </w:pPr>
            <w:r>
              <w:rPr>
                <w:rFonts w:ascii="Times New Roman" w:hAnsi="Times New Roman" w:cs="Times New Roman"/>
                <w:b/>
                <w:color w:val="000000" w:themeColor="text1"/>
                <w:kern w:val="0"/>
                <w:sz w:val="24"/>
                <w:szCs w:val="24"/>
              </w:rPr>
              <w:t>合计（元）</w:t>
            </w:r>
          </w:p>
        </w:tc>
      </w:tr>
      <w:tr w14:paraId="28D225EE">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7399C042">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1048" w:type="dxa"/>
            <w:tcBorders>
              <w:top w:val="single" w:color="000000" w:sz="4" w:space="0"/>
              <w:left w:val="single" w:color="000000" w:sz="4" w:space="0"/>
              <w:bottom w:val="single" w:color="000000" w:sz="4" w:space="0"/>
              <w:right w:val="single" w:color="000000" w:sz="4" w:space="0"/>
            </w:tcBorders>
            <w:vAlign w:val="center"/>
          </w:tcPr>
          <w:p w14:paraId="223C7CB4">
            <w:pPr>
              <w:adjustRightInd w:val="0"/>
              <w:snapToGrid w:val="0"/>
              <w:spacing w:line="240" w:lineRule="auto"/>
              <w:jc w:val="center"/>
              <w:rPr>
                <w:rFonts w:ascii="Times New Roman" w:hAnsi="Times New Roman" w:cs="Times New Roman"/>
                <w:color w:val="000000" w:themeColor="text1"/>
                <w:kern w:val="0"/>
                <w:sz w:val="24"/>
                <w:szCs w:val="24"/>
              </w:rPr>
            </w:pPr>
          </w:p>
        </w:tc>
        <w:tc>
          <w:tcPr>
            <w:tcW w:w="1942" w:type="dxa"/>
            <w:tcBorders>
              <w:top w:val="single" w:color="000000" w:sz="4" w:space="0"/>
              <w:left w:val="single" w:color="000000" w:sz="4" w:space="0"/>
              <w:bottom w:val="single" w:color="000000" w:sz="4" w:space="0"/>
              <w:right w:val="single" w:color="000000" w:sz="4" w:space="0"/>
            </w:tcBorders>
            <w:vAlign w:val="center"/>
          </w:tcPr>
          <w:p w14:paraId="6C6B8811">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表土剥离与植被移植利用</w:t>
            </w:r>
          </w:p>
        </w:tc>
        <w:tc>
          <w:tcPr>
            <w:tcW w:w="1033" w:type="dxa"/>
            <w:tcBorders>
              <w:top w:val="single" w:color="000000" w:sz="4" w:space="0"/>
              <w:left w:val="single" w:color="000000" w:sz="4" w:space="0"/>
              <w:bottom w:val="single" w:color="000000" w:sz="4" w:space="0"/>
              <w:right w:val="single" w:color="000000" w:sz="4" w:space="0"/>
            </w:tcBorders>
            <w:vAlign w:val="center"/>
          </w:tcPr>
          <w:p w14:paraId="3461BD65">
            <w:pPr>
              <w:adjustRightInd w:val="0"/>
              <w:snapToGrid w:val="0"/>
              <w:spacing w:line="240" w:lineRule="auto"/>
              <w:jc w:val="center"/>
              <w:rPr>
                <w:rFonts w:ascii="Times New Roman" w:hAnsi="Times New Roman" w:cs="Times New Roman"/>
                <w:color w:val="000000" w:themeColor="text1"/>
                <w:kern w:val="0"/>
                <w:sz w:val="24"/>
                <w:szCs w:val="24"/>
              </w:rPr>
            </w:pPr>
          </w:p>
        </w:tc>
        <w:tc>
          <w:tcPr>
            <w:tcW w:w="1069" w:type="dxa"/>
            <w:tcBorders>
              <w:top w:val="single" w:color="000000" w:sz="4" w:space="0"/>
              <w:left w:val="single" w:color="000000" w:sz="4" w:space="0"/>
              <w:bottom w:val="single" w:color="000000" w:sz="4" w:space="0"/>
              <w:right w:val="single" w:color="000000" w:sz="4" w:space="0"/>
            </w:tcBorders>
            <w:vAlign w:val="center"/>
          </w:tcPr>
          <w:p w14:paraId="379315C1">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855" w:type="dxa"/>
            <w:tcBorders>
              <w:top w:val="single" w:color="000000" w:sz="4" w:space="0"/>
              <w:left w:val="single" w:color="000000" w:sz="4" w:space="0"/>
              <w:bottom w:val="single" w:color="000000" w:sz="4" w:space="0"/>
              <w:right w:val="single" w:color="000000" w:sz="4" w:space="0"/>
            </w:tcBorders>
            <w:vAlign w:val="center"/>
          </w:tcPr>
          <w:p w14:paraId="74FAA2D4">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48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C1ED4B8">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127909.40</w:t>
            </w:r>
          </w:p>
        </w:tc>
      </w:tr>
      <w:tr w14:paraId="1B88D151">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79DB1413">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048" w:type="dxa"/>
            <w:tcBorders>
              <w:top w:val="single" w:color="000000" w:sz="4" w:space="0"/>
              <w:left w:val="single" w:color="000000" w:sz="4" w:space="0"/>
              <w:bottom w:val="single" w:color="000000" w:sz="4" w:space="0"/>
              <w:right w:val="single" w:color="000000" w:sz="4" w:space="0"/>
            </w:tcBorders>
            <w:vAlign w:val="center"/>
          </w:tcPr>
          <w:p w14:paraId="00F28637">
            <w:pPr>
              <w:adjustRightInd w:val="0"/>
              <w:snapToGrid w:val="0"/>
              <w:spacing w:line="240" w:lineRule="auto"/>
              <w:jc w:val="center"/>
              <w:rPr>
                <w:rFonts w:ascii="Times New Roman" w:hAnsi="Times New Roman" w:cs="Times New Roman"/>
                <w:color w:val="000000" w:themeColor="text1"/>
                <w:kern w:val="0"/>
                <w:sz w:val="24"/>
                <w:szCs w:val="24"/>
              </w:rPr>
            </w:pPr>
          </w:p>
        </w:tc>
        <w:tc>
          <w:tcPr>
            <w:tcW w:w="1942" w:type="dxa"/>
            <w:tcBorders>
              <w:top w:val="single" w:color="000000" w:sz="4" w:space="0"/>
              <w:left w:val="single" w:color="000000" w:sz="4" w:space="0"/>
              <w:bottom w:val="single" w:color="000000" w:sz="4" w:space="0"/>
              <w:right w:val="single" w:color="000000" w:sz="4" w:space="0"/>
            </w:tcBorders>
            <w:vAlign w:val="center"/>
          </w:tcPr>
          <w:p w14:paraId="5759CF9B">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表土剥离工程</w:t>
            </w:r>
          </w:p>
        </w:tc>
        <w:tc>
          <w:tcPr>
            <w:tcW w:w="1033" w:type="dxa"/>
            <w:tcBorders>
              <w:top w:val="single" w:color="000000" w:sz="4" w:space="0"/>
              <w:left w:val="single" w:color="000000" w:sz="4" w:space="0"/>
              <w:bottom w:val="single" w:color="000000" w:sz="4" w:space="0"/>
              <w:right w:val="single" w:color="000000" w:sz="4" w:space="0"/>
            </w:tcBorders>
            <w:vAlign w:val="center"/>
          </w:tcPr>
          <w:p w14:paraId="11424DE7">
            <w:pPr>
              <w:adjustRightInd w:val="0"/>
              <w:snapToGrid w:val="0"/>
              <w:spacing w:line="240" w:lineRule="auto"/>
              <w:jc w:val="center"/>
              <w:rPr>
                <w:rFonts w:ascii="Times New Roman" w:hAnsi="Times New Roman" w:cs="Times New Roman"/>
                <w:color w:val="000000" w:themeColor="text1"/>
                <w:kern w:val="0"/>
                <w:sz w:val="24"/>
                <w:szCs w:val="24"/>
              </w:rPr>
            </w:pPr>
          </w:p>
        </w:tc>
        <w:tc>
          <w:tcPr>
            <w:tcW w:w="1069" w:type="dxa"/>
            <w:tcBorders>
              <w:top w:val="single" w:color="000000" w:sz="4" w:space="0"/>
              <w:left w:val="single" w:color="000000" w:sz="4" w:space="0"/>
              <w:bottom w:val="single" w:color="000000" w:sz="4" w:space="0"/>
              <w:right w:val="single" w:color="000000" w:sz="4" w:space="0"/>
            </w:tcBorders>
            <w:vAlign w:val="center"/>
          </w:tcPr>
          <w:p w14:paraId="06DB27DF">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855" w:type="dxa"/>
            <w:tcBorders>
              <w:top w:val="single" w:color="000000" w:sz="4" w:space="0"/>
              <w:left w:val="single" w:color="000000" w:sz="4" w:space="0"/>
              <w:bottom w:val="single" w:color="000000" w:sz="4" w:space="0"/>
              <w:right w:val="single" w:color="000000" w:sz="4" w:space="0"/>
            </w:tcBorders>
            <w:vAlign w:val="center"/>
          </w:tcPr>
          <w:p w14:paraId="1DC9188D">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48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27A4E3B">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10962.00 </w:t>
            </w:r>
          </w:p>
        </w:tc>
      </w:tr>
      <w:tr w14:paraId="133BA810">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51970D1F">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8A337">
            <w:pPr>
              <w:widowControl/>
              <w:topLinePunct/>
              <w:snapToGrid w:val="0"/>
              <w:spacing w:line="240" w:lineRule="auto"/>
              <w:jc w:val="center"/>
              <w:textAlignment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1-182</w:t>
            </w:r>
          </w:p>
        </w:tc>
        <w:tc>
          <w:tcPr>
            <w:tcW w:w="1942" w:type="dxa"/>
            <w:tcBorders>
              <w:top w:val="single" w:color="000000" w:sz="4" w:space="0"/>
              <w:left w:val="single" w:color="000000" w:sz="4" w:space="0"/>
              <w:bottom w:val="single" w:color="000000" w:sz="4" w:space="0"/>
              <w:right w:val="single" w:color="000000" w:sz="4" w:space="0"/>
            </w:tcBorders>
            <w:vAlign w:val="center"/>
          </w:tcPr>
          <w:p w14:paraId="0419AC60">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表土剥离</w:t>
            </w:r>
          </w:p>
        </w:tc>
        <w:tc>
          <w:tcPr>
            <w:tcW w:w="1033" w:type="dxa"/>
            <w:tcBorders>
              <w:top w:val="single" w:color="000000" w:sz="4" w:space="0"/>
              <w:left w:val="single" w:color="000000" w:sz="4" w:space="0"/>
              <w:bottom w:val="single" w:color="000000" w:sz="4" w:space="0"/>
              <w:right w:val="single" w:color="000000" w:sz="4" w:space="0"/>
            </w:tcBorders>
            <w:vAlign w:val="center"/>
          </w:tcPr>
          <w:p w14:paraId="551A56FB">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069" w:type="dxa"/>
            <w:tcBorders>
              <w:top w:val="single" w:color="000000" w:sz="4" w:space="0"/>
              <w:left w:val="single" w:color="000000" w:sz="4" w:space="0"/>
              <w:bottom w:val="single" w:color="000000" w:sz="4" w:space="0"/>
              <w:right w:val="single" w:color="000000" w:sz="4" w:space="0"/>
            </w:tcBorders>
            <w:vAlign w:val="center"/>
          </w:tcPr>
          <w:p w14:paraId="25E2DAA8">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2700</w:t>
            </w:r>
          </w:p>
        </w:tc>
        <w:tc>
          <w:tcPr>
            <w:tcW w:w="1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C91D4">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4.06</w:t>
            </w:r>
          </w:p>
        </w:tc>
        <w:tc>
          <w:tcPr>
            <w:tcW w:w="148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855F957">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10962.00 </w:t>
            </w:r>
          </w:p>
        </w:tc>
      </w:tr>
      <w:tr w14:paraId="143348B2">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03009FC0">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048" w:type="dxa"/>
            <w:tcBorders>
              <w:top w:val="single" w:color="000000" w:sz="4" w:space="0"/>
              <w:left w:val="single" w:color="000000" w:sz="4" w:space="0"/>
              <w:bottom w:val="single" w:color="000000" w:sz="4" w:space="0"/>
              <w:right w:val="single" w:color="000000" w:sz="4" w:space="0"/>
            </w:tcBorders>
            <w:vAlign w:val="center"/>
          </w:tcPr>
          <w:p w14:paraId="30576415">
            <w:pPr>
              <w:adjustRightInd w:val="0"/>
              <w:snapToGrid w:val="0"/>
              <w:spacing w:line="240" w:lineRule="auto"/>
              <w:jc w:val="center"/>
              <w:rPr>
                <w:rFonts w:ascii="Times New Roman" w:hAnsi="Times New Roman" w:cs="Times New Roman"/>
                <w:color w:val="000000" w:themeColor="text1"/>
                <w:kern w:val="0"/>
                <w:sz w:val="24"/>
                <w:szCs w:val="24"/>
              </w:rPr>
            </w:pPr>
          </w:p>
        </w:tc>
        <w:tc>
          <w:tcPr>
            <w:tcW w:w="1942" w:type="dxa"/>
            <w:tcBorders>
              <w:top w:val="single" w:color="000000" w:sz="4" w:space="0"/>
              <w:left w:val="single" w:color="000000" w:sz="4" w:space="0"/>
              <w:bottom w:val="single" w:color="000000" w:sz="4" w:space="0"/>
              <w:right w:val="single" w:color="000000" w:sz="4" w:space="0"/>
            </w:tcBorders>
            <w:vAlign w:val="center"/>
          </w:tcPr>
          <w:p w14:paraId="691D3EEB">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表土管护工程</w:t>
            </w:r>
          </w:p>
        </w:tc>
        <w:tc>
          <w:tcPr>
            <w:tcW w:w="1033" w:type="dxa"/>
            <w:tcBorders>
              <w:top w:val="single" w:color="000000" w:sz="4" w:space="0"/>
              <w:left w:val="single" w:color="000000" w:sz="4" w:space="0"/>
              <w:bottom w:val="single" w:color="000000" w:sz="4" w:space="0"/>
              <w:right w:val="single" w:color="000000" w:sz="4" w:space="0"/>
            </w:tcBorders>
            <w:vAlign w:val="center"/>
          </w:tcPr>
          <w:p w14:paraId="74CD6232">
            <w:pPr>
              <w:adjustRightInd w:val="0"/>
              <w:snapToGrid w:val="0"/>
              <w:spacing w:line="240" w:lineRule="auto"/>
              <w:jc w:val="center"/>
              <w:rPr>
                <w:rFonts w:ascii="Times New Roman" w:hAnsi="Times New Roman" w:cs="Times New Roman"/>
                <w:color w:val="000000" w:themeColor="text1"/>
                <w:kern w:val="0"/>
                <w:sz w:val="24"/>
                <w:szCs w:val="24"/>
              </w:rPr>
            </w:pPr>
          </w:p>
        </w:tc>
        <w:tc>
          <w:tcPr>
            <w:tcW w:w="1069" w:type="dxa"/>
            <w:tcBorders>
              <w:top w:val="single" w:color="000000" w:sz="4" w:space="0"/>
              <w:left w:val="single" w:color="000000" w:sz="4" w:space="0"/>
              <w:bottom w:val="single" w:color="000000" w:sz="4" w:space="0"/>
              <w:right w:val="single" w:color="000000" w:sz="4" w:space="0"/>
            </w:tcBorders>
            <w:vAlign w:val="center"/>
          </w:tcPr>
          <w:p w14:paraId="1109581D">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855" w:type="dxa"/>
            <w:tcBorders>
              <w:top w:val="single" w:color="000000" w:sz="4" w:space="0"/>
              <w:left w:val="single" w:color="000000" w:sz="4" w:space="0"/>
              <w:bottom w:val="single" w:color="000000" w:sz="4" w:space="0"/>
              <w:right w:val="single" w:color="000000" w:sz="4" w:space="0"/>
            </w:tcBorders>
            <w:vAlign w:val="center"/>
          </w:tcPr>
          <w:p w14:paraId="5E41EFCE">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48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DA21797">
            <w:pPr>
              <w:widowControl/>
              <w:topLinePunct/>
              <w:snapToGrid w:val="0"/>
              <w:spacing w:line="240" w:lineRule="auto"/>
              <w:jc w:val="center"/>
              <w:rPr>
                <w:rFonts w:hint="eastAsia"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rPr>
              <w:t>116947.4</w:t>
            </w:r>
            <w:r>
              <w:rPr>
                <w:rFonts w:hint="eastAsia" w:ascii="Times New Roman" w:hAnsi="Times New Roman" w:cs="Times New Roman"/>
                <w:color w:val="000000" w:themeColor="text1"/>
                <w:kern w:val="0"/>
                <w:sz w:val="24"/>
                <w:szCs w:val="24"/>
                <w:lang w:val="en-US" w:eastAsia="zh-CN"/>
              </w:rPr>
              <w:t>0</w:t>
            </w:r>
          </w:p>
        </w:tc>
      </w:tr>
      <w:tr w14:paraId="5EC0B225">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330F8C26">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BC19F">
            <w:pPr>
              <w:widowControl/>
              <w:topLinePunct/>
              <w:spacing w:line="240" w:lineRule="auto"/>
              <w:jc w:val="center"/>
              <w:textAlignment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9-030</w:t>
            </w:r>
          </w:p>
        </w:tc>
        <w:tc>
          <w:tcPr>
            <w:tcW w:w="1942" w:type="dxa"/>
            <w:tcBorders>
              <w:top w:val="single" w:color="000000" w:sz="4" w:space="0"/>
              <w:left w:val="single" w:color="000000" w:sz="4" w:space="0"/>
              <w:bottom w:val="single" w:color="000000" w:sz="4" w:space="0"/>
              <w:right w:val="single" w:color="000000" w:sz="4" w:space="0"/>
            </w:tcBorders>
            <w:vAlign w:val="center"/>
          </w:tcPr>
          <w:p w14:paraId="232094E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撒播种草</w:t>
            </w:r>
          </w:p>
        </w:tc>
        <w:tc>
          <w:tcPr>
            <w:tcW w:w="1033" w:type="dxa"/>
            <w:tcBorders>
              <w:top w:val="single" w:color="000000" w:sz="4" w:space="0"/>
              <w:left w:val="single" w:color="000000" w:sz="4" w:space="0"/>
              <w:bottom w:val="single" w:color="000000" w:sz="4" w:space="0"/>
              <w:right w:val="single" w:color="000000" w:sz="4" w:space="0"/>
            </w:tcBorders>
            <w:vAlign w:val="center"/>
          </w:tcPr>
          <w:p w14:paraId="1FE807C8">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p>
        </w:tc>
        <w:tc>
          <w:tcPr>
            <w:tcW w:w="1069" w:type="dxa"/>
            <w:tcBorders>
              <w:top w:val="single" w:color="000000" w:sz="4" w:space="0"/>
              <w:left w:val="single" w:color="000000" w:sz="4" w:space="0"/>
              <w:bottom w:val="single" w:color="000000" w:sz="4" w:space="0"/>
              <w:right w:val="single" w:color="000000" w:sz="4" w:space="0"/>
            </w:tcBorders>
            <w:vAlign w:val="center"/>
          </w:tcPr>
          <w:p w14:paraId="791C3CA7">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0.13</w:t>
            </w:r>
          </w:p>
        </w:tc>
        <w:tc>
          <w:tcPr>
            <w:tcW w:w="1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4BFE7">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3668.06 </w:t>
            </w:r>
          </w:p>
        </w:tc>
        <w:tc>
          <w:tcPr>
            <w:tcW w:w="148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E10BBC3">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476.85 </w:t>
            </w:r>
          </w:p>
        </w:tc>
      </w:tr>
      <w:tr w14:paraId="34E782D0">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6955D128">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CE49A">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1-283</w:t>
            </w:r>
          </w:p>
        </w:tc>
        <w:tc>
          <w:tcPr>
            <w:tcW w:w="1942" w:type="dxa"/>
            <w:tcBorders>
              <w:top w:val="single" w:color="000000" w:sz="4" w:space="0"/>
              <w:left w:val="single" w:color="000000" w:sz="4" w:space="0"/>
              <w:bottom w:val="single" w:color="000000" w:sz="4" w:space="0"/>
              <w:right w:val="single" w:color="000000" w:sz="4" w:space="0"/>
            </w:tcBorders>
            <w:vAlign w:val="center"/>
          </w:tcPr>
          <w:p w14:paraId="5D2C60B3">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石笼挡墙土方开挖</w:t>
            </w:r>
          </w:p>
        </w:tc>
        <w:tc>
          <w:tcPr>
            <w:tcW w:w="1033" w:type="dxa"/>
            <w:tcBorders>
              <w:top w:val="single" w:color="000000" w:sz="4" w:space="0"/>
              <w:left w:val="single" w:color="000000" w:sz="4" w:space="0"/>
              <w:bottom w:val="single" w:color="000000" w:sz="4" w:space="0"/>
              <w:right w:val="single" w:color="000000" w:sz="4" w:space="0"/>
            </w:tcBorders>
            <w:vAlign w:val="center"/>
          </w:tcPr>
          <w:p w14:paraId="1D05F505">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069" w:type="dxa"/>
            <w:tcBorders>
              <w:top w:val="single" w:color="000000" w:sz="4" w:space="0"/>
              <w:left w:val="single" w:color="000000" w:sz="4" w:space="0"/>
              <w:bottom w:val="single" w:color="000000" w:sz="4" w:space="0"/>
              <w:right w:val="single" w:color="000000" w:sz="4" w:space="0"/>
            </w:tcBorders>
            <w:vAlign w:val="center"/>
          </w:tcPr>
          <w:p w14:paraId="50CF8924">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105</w:t>
            </w:r>
          </w:p>
        </w:tc>
        <w:tc>
          <w:tcPr>
            <w:tcW w:w="1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70FA4">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2.64</w:t>
            </w:r>
          </w:p>
        </w:tc>
        <w:tc>
          <w:tcPr>
            <w:tcW w:w="148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516F0F2">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277.20 </w:t>
            </w:r>
          </w:p>
        </w:tc>
      </w:tr>
      <w:tr w14:paraId="4ACF4D4B">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2A06E7D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34F71">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3-066</w:t>
            </w:r>
          </w:p>
        </w:tc>
        <w:tc>
          <w:tcPr>
            <w:tcW w:w="1942" w:type="dxa"/>
            <w:tcBorders>
              <w:top w:val="single" w:color="000000" w:sz="4" w:space="0"/>
              <w:left w:val="single" w:color="000000" w:sz="4" w:space="0"/>
              <w:bottom w:val="single" w:color="000000" w:sz="4" w:space="0"/>
              <w:right w:val="single" w:color="000000" w:sz="4" w:space="0"/>
            </w:tcBorders>
            <w:vAlign w:val="center"/>
          </w:tcPr>
          <w:p w14:paraId="58D33C9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石笼挡墙体积</w:t>
            </w:r>
          </w:p>
        </w:tc>
        <w:tc>
          <w:tcPr>
            <w:tcW w:w="1033" w:type="dxa"/>
            <w:tcBorders>
              <w:top w:val="single" w:color="000000" w:sz="4" w:space="0"/>
              <w:left w:val="single" w:color="000000" w:sz="4" w:space="0"/>
              <w:bottom w:val="single" w:color="000000" w:sz="4" w:space="0"/>
              <w:right w:val="single" w:color="000000" w:sz="4" w:space="0"/>
            </w:tcBorders>
            <w:vAlign w:val="center"/>
          </w:tcPr>
          <w:p w14:paraId="18A530AF">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069" w:type="dxa"/>
            <w:tcBorders>
              <w:top w:val="single" w:color="000000" w:sz="4" w:space="0"/>
              <w:left w:val="single" w:color="000000" w:sz="4" w:space="0"/>
              <w:bottom w:val="single" w:color="000000" w:sz="4" w:space="0"/>
              <w:right w:val="single" w:color="000000" w:sz="4" w:space="0"/>
            </w:tcBorders>
            <w:vAlign w:val="center"/>
          </w:tcPr>
          <w:p w14:paraId="0B5FE7A4">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455</w:t>
            </w:r>
          </w:p>
        </w:tc>
        <w:tc>
          <w:tcPr>
            <w:tcW w:w="1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15093">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255.37</w:t>
            </w:r>
          </w:p>
        </w:tc>
        <w:tc>
          <w:tcPr>
            <w:tcW w:w="148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35A9E65">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116193.35 </w:t>
            </w:r>
          </w:p>
        </w:tc>
      </w:tr>
      <w:tr w14:paraId="468AE945">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3BB012D5">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1048" w:type="dxa"/>
            <w:tcBorders>
              <w:top w:val="single" w:color="000000" w:sz="4" w:space="0"/>
              <w:left w:val="single" w:color="000000" w:sz="4" w:space="0"/>
              <w:bottom w:val="single" w:color="000000" w:sz="4" w:space="0"/>
              <w:right w:val="single" w:color="000000" w:sz="4" w:space="0"/>
            </w:tcBorders>
            <w:vAlign w:val="center"/>
          </w:tcPr>
          <w:p w14:paraId="3AD395B9">
            <w:pPr>
              <w:adjustRightInd w:val="0"/>
              <w:snapToGrid w:val="0"/>
              <w:spacing w:line="240" w:lineRule="auto"/>
              <w:jc w:val="center"/>
              <w:rPr>
                <w:rFonts w:ascii="Times New Roman" w:hAnsi="Times New Roman" w:cs="Times New Roman"/>
                <w:color w:val="000000" w:themeColor="text1"/>
                <w:kern w:val="0"/>
                <w:sz w:val="24"/>
                <w:szCs w:val="24"/>
              </w:rPr>
            </w:pPr>
          </w:p>
        </w:tc>
        <w:tc>
          <w:tcPr>
            <w:tcW w:w="1942" w:type="dxa"/>
            <w:tcBorders>
              <w:top w:val="single" w:color="000000" w:sz="4" w:space="0"/>
              <w:left w:val="single" w:color="000000" w:sz="4" w:space="0"/>
              <w:bottom w:val="single" w:color="000000" w:sz="4" w:space="0"/>
              <w:right w:val="single" w:color="000000" w:sz="4" w:space="0"/>
            </w:tcBorders>
            <w:vAlign w:val="center"/>
          </w:tcPr>
          <w:p w14:paraId="7B346B92">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地貌重塑工程</w:t>
            </w:r>
          </w:p>
        </w:tc>
        <w:tc>
          <w:tcPr>
            <w:tcW w:w="1033" w:type="dxa"/>
            <w:tcBorders>
              <w:top w:val="single" w:color="000000" w:sz="4" w:space="0"/>
              <w:left w:val="single" w:color="000000" w:sz="4" w:space="0"/>
              <w:bottom w:val="single" w:color="000000" w:sz="4" w:space="0"/>
              <w:right w:val="single" w:color="000000" w:sz="4" w:space="0"/>
            </w:tcBorders>
            <w:vAlign w:val="center"/>
          </w:tcPr>
          <w:p w14:paraId="5D7772BF">
            <w:pPr>
              <w:adjustRightInd w:val="0"/>
              <w:snapToGrid w:val="0"/>
              <w:spacing w:line="240" w:lineRule="auto"/>
              <w:jc w:val="center"/>
              <w:rPr>
                <w:rFonts w:ascii="Times New Roman" w:hAnsi="Times New Roman" w:cs="Times New Roman"/>
                <w:color w:val="000000" w:themeColor="text1"/>
                <w:kern w:val="0"/>
                <w:sz w:val="24"/>
                <w:szCs w:val="24"/>
              </w:rPr>
            </w:pPr>
          </w:p>
        </w:tc>
        <w:tc>
          <w:tcPr>
            <w:tcW w:w="1069" w:type="dxa"/>
            <w:tcBorders>
              <w:top w:val="single" w:color="000000" w:sz="4" w:space="0"/>
              <w:left w:val="single" w:color="000000" w:sz="4" w:space="0"/>
              <w:bottom w:val="single" w:color="000000" w:sz="4" w:space="0"/>
              <w:right w:val="single" w:color="000000" w:sz="4" w:space="0"/>
            </w:tcBorders>
            <w:vAlign w:val="center"/>
          </w:tcPr>
          <w:p w14:paraId="7D1ED835">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855" w:type="dxa"/>
            <w:tcBorders>
              <w:top w:val="single" w:color="000000" w:sz="4" w:space="0"/>
              <w:left w:val="single" w:color="000000" w:sz="4" w:space="0"/>
              <w:bottom w:val="single" w:color="000000" w:sz="4" w:space="0"/>
              <w:right w:val="single" w:color="000000" w:sz="4" w:space="0"/>
            </w:tcBorders>
            <w:vAlign w:val="center"/>
          </w:tcPr>
          <w:p w14:paraId="66A36DB9">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48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30AC06B">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71619.45</w:t>
            </w:r>
          </w:p>
        </w:tc>
      </w:tr>
      <w:tr w14:paraId="39D52F8A">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1BF7C8D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048" w:type="dxa"/>
            <w:tcBorders>
              <w:top w:val="single" w:color="000000" w:sz="4" w:space="0"/>
              <w:left w:val="single" w:color="000000" w:sz="4" w:space="0"/>
              <w:bottom w:val="single" w:color="000000" w:sz="4" w:space="0"/>
              <w:right w:val="single" w:color="000000" w:sz="4" w:space="0"/>
            </w:tcBorders>
            <w:vAlign w:val="center"/>
          </w:tcPr>
          <w:p w14:paraId="5F155459">
            <w:pPr>
              <w:adjustRightInd w:val="0"/>
              <w:snapToGrid w:val="0"/>
              <w:spacing w:line="240" w:lineRule="auto"/>
              <w:jc w:val="center"/>
              <w:rPr>
                <w:rFonts w:ascii="Times New Roman" w:hAnsi="Times New Roman" w:cs="Times New Roman"/>
                <w:color w:val="000000" w:themeColor="text1"/>
                <w:kern w:val="0"/>
                <w:sz w:val="24"/>
                <w:szCs w:val="24"/>
              </w:rPr>
            </w:pPr>
          </w:p>
        </w:tc>
        <w:tc>
          <w:tcPr>
            <w:tcW w:w="1942" w:type="dxa"/>
            <w:tcBorders>
              <w:top w:val="single" w:color="000000" w:sz="4" w:space="0"/>
              <w:left w:val="single" w:color="000000" w:sz="4" w:space="0"/>
              <w:bottom w:val="single" w:color="000000" w:sz="4" w:space="0"/>
              <w:right w:val="single" w:color="000000" w:sz="4" w:space="0"/>
            </w:tcBorders>
            <w:vAlign w:val="center"/>
          </w:tcPr>
          <w:p w14:paraId="6A65A748">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露天采场、排土场治理工程</w:t>
            </w:r>
          </w:p>
        </w:tc>
        <w:tc>
          <w:tcPr>
            <w:tcW w:w="1033" w:type="dxa"/>
            <w:tcBorders>
              <w:top w:val="single" w:color="000000" w:sz="4" w:space="0"/>
              <w:left w:val="single" w:color="000000" w:sz="4" w:space="0"/>
              <w:bottom w:val="single" w:color="000000" w:sz="4" w:space="0"/>
              <w:right w:val="single" w:color="000000" w:sz="4" w:space="0"/>
            </w:tcBorders>
            <w:vAlign w:val="center"/>
          </w:tcPr>
          <w:p w14:paraId="25D28062">
            <w:pPr>
              <w:adjustRightInd w:val="0"/>
              <w:snapToGrid w:val="0"/>
              <w:spacing w:line="240" w:lineRule="auto"/>
              <w:jc w:val="center"/>
              <w:rPr>
                <w:rFonts w:ascii="Times New Roman" w:hAnsi="Times New Roman" w:cs="Times New Roman"/>
                <w:color w:val="000000" w:themeColor="text1"/>
                <w:kern w:val="0"/>
                <w:sz w:val="24"/>
                <w:szCs w:val="24"/>
              </w:rPr>
            </w:pPr>
          </w:p>
        </w:tc>
        <w:tc>
          <w:tcPr>
            <w:tcW w:w="1069" w:type="dxa"/>
            <w:tcBorders>
              <w:top w:val="single" w:color="000000" w:sz="4" w:space="0"/>
              <w:left w:val="single" w:color="000000" w:sz="4" w:space="0"/>
              <w:bottom w:val="single" w:color="000000" w:sz="4" w:space="0"/>
              <w:right w:val="single" w:color="000000" w:sz="4" w:space="0"/>
            </w:tcBorders>
            <w:vAlign w:val="center"/>
          </w:tcPr>
          <w:p w14:paraId="1DEA0ED8">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855" w:type="dxa"/>
            <w:tcBorders>
              <w:top w:val="single" w:color="000000" w:sz="4" w:space="0"/>
              <w:left w:val="single" w:color="000000" w:sz="4" w:space="0"/>
              <w:bottom w:val="single" w:color="000000" w:sz="4" w:space="0"/>
              <w:right w:val="single" w:color="000000" w:sz="4" w:space="0"/>
            </w:tcBorders>
            <w:vAlign w:val="center"/>
          </w:tcPr>
          <w:p w14:paraId="5E9D3F31">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48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338969F">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71619.45</w:t>
            </w:r>
          </w:p>
        </w:tc>
      </w:tr>
      <w:tr w14:paraId="75A58ABC">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220DFE4D">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048" w:type="dxa"/>
            <w:tcBorders>
              <w:top w:val="single" w:color="000000" w:sz="4" w:space="0"/>
              <w:left w:val="single" w:color="000000" w:sz="4" w:space="0"/>
              <w:bottom w:val="single" w:color="000000" w:sz="4" w:space="0"/>
              <w:right w:val="single" w:color="000000" w:sz="4" w:space="0"/>
            </w:tcBorders>
            <w:vAlign w:val="center"/>
          </w:tcPr>
          <w:p w14:paraId="30A13D55">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1-298</w:t>
            </w:r>
          </w:p>
        </w:tc>
        <w:tc>
          <w:tcPr>
            <w:tcW w:w="1942" w:type="dxa"/>
            <w:tcBorders>
              <w:top w:val="single" w:color="000000" w:sz="4" w:space="0"/>
              <w:left w:val="single" w:color="000000" w:sz="4" w:space="0"/>
              <w:bottom w:val="single" w:color="000000" w:sz="4" w:space="0"/>
              <w:right w:val="single" w:color="000000" w:sz="4" w:space="0"/>
            </w:tcBorders>
            <w:vAlign w:val="center"/>
          </w:tcPr>
          <w:p w14:paraId="1606C0D8">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拆除石笼挡墙</w:t>
            </w:r>
          </w:p>
        </w:tc>
        <w:tc>
          <w:tcPr>
            <w:tcW w:w="1033" w:type="dxa"/>
            <w:tcBorders>
              <w:top w:val="single" w:color="000000" w:sz="4" w:space="0"/>
              <w:left w:val="single" w:color="000000" w:sz="4" w:space="0"/>
              <w:bottom w:val="single" w:color="000000" w:sz="4" w:space="0"/>
              <w:right w:val="single" w:color="000000" w:sz="4" w:space="0"/>
            </w:tcBorders>
            <w:vAlign w:val="center"/>
          </w:tcPr>
          <w:p w14:paraId="6CFFF878">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069" w:type="dxa"/>
            <w:tcBorders>
              <w:top w:val="single" w:color="000000" w:sz="4" w:space="0"/>
              <w:left w:val="single" w:color="000000" w:sz="4" w:space="0"/>
              <w:bottom w:val="single" w:color="000000" w:sz="4" w:space="0"/>
              <w:right w:val="single" w:color="000000" w:sz="4" w:space="0"/>
            </w:tcBorders>
          </w:tcPr>
          <w:p w14:paraId="3ADAE7BD">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455</w:t>
            </w:r>
          </w:p>
        </w:tc>
        <w:tc>
          <w:tcPr>
            <w:tcW w:w="1855" w:type="dxa"/>
            <w:tcBorders>
              <w:top w:val="single" w:color="000000" w:sz="4" w:space="0"/>
              <w:left w:val="single" w:color="000000" w:sz="4" w:space="0"/>
              <w:bottom w:val="single" w:color="000000" w:sz="4" w:space="0"/>
              <w:right w:val="single" w:color="000000" w:sz="4" w:space="0"/>
            </w:tcBorders>
            <w:vAlign w:val="center"/>
          </w:tcPr>
          <w:p w14:paraId="520EA743">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12.04</w:t>
            </w:r>
          </w:p>
        </w:tc>
        <w:tc>
          <w:tcPr>
            <w:tcW w:w="148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729D120">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5478.20 </w:t>
            </w:r>
          </w:p>
        </w:tc>
      </w:tr>
      <w:tr w14:paraId="4F5DB662">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25BB3456">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048" w:type="dxa"/>
            <w:tcBorders>
              <w:top w:val="single" w:color="000000" w:sz="4" w:space="0"/>
              <w:left w:val="single" w:color="000000" w:sz="4" w:space="0"/>
              <w:bottom w:val="single" w:color="000000" w:sz="4" w:space="0"/>
              <w:right w:val="single" w:color="000000" w:sz="4" w:space="0"/>
            </w:tcBorders>
            <w:vAlign w:val="center"/>
          </w:tcPr>
          <w:p w14:paraId="205C056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2-319</w:t>
            </w:r>
          </w:p>
        </w:tc>
        <w:tc>
          <w:tcPr>
            <w:tcW w:w="1942" w:type="dxa"/>
            <w:tcBorders>
              <w:top w:val="single" w:color="000000" w:sz="4" w:space="0"/>
              <w:left w:val="single" w:color="000000" w:sz="4" w:space="0"/>
              <w:bottom w:val="single" w:color="000000" w:sz="4" w:space="0"/>
              <w:right w:val="single" w:color="000000" w:sz="4" w:space="0"/>
            </w:tcBorders>
            <w:vAlign w:val="center"/>
          </w:tcPr>
          <w:p w14:paraId="0C0A4FC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运输拆除石笼</w:t>
            </w:r>
          </w:p>
        </w:tc>
        <w:tc>
          <w:tcPr>
            <w:tcW w:w="1033" w:type="dxa"/>
            <w:tcBorders>
              <w:top w:val="single" w:color="000000" w:sz="4" w:space="0"/>
              <w:left w:val="single" w:color="000000" w:sz="4" w:space="0"/>
              <w:bottom w:val="single" w:color="000000" w:sz="4" w:space="0"/>
              <w:right w:val="single" w:color="000000" w:sz="4" w:space="0"/>
            </w:tcBorders>
            <w:vAlign w:val="center"/>
          </w:tcPr>
          <w:p w14:paraId="2408F5EA">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069" w:type="dxa"/>
            <w:tcBorders>
              <w:top w:val="single" w:color="000000" w:sz="4" w:space="0"/>
              <w:left w:val="single" w:color="000000" w:sz="4" w:space="0"/>
              <w:bottom w:val="single" w:color="000000" w:sz="4" w:space="0"/>
              <w:right w:val="single" w:color="000000" w:sz="4" w:space="0"/>
            </w:tcBorders>
          </w:tcPr>
          <w:p w14:paraId="29F792C5">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455</w:t>
            </w:r>
          </w:p>
        </w:tc>
        <w:tc>
          <w:tcPr>
            <w:tcW w:w="1855" w:type="dxa"/>
            <w:tcBorders>
              <w:top w:val="single" w:color="000000" w:sz="4" w:space="0"/>
              <w:left w:val="single" w:color="000000" w:sz="4" w:space="0"/>
              <w:bottom w:val="single" w:color="000000" w:sz="4" w:space="0"/>
              <w:right w:val="single" w:color="000000" w:sz="4" w:space="0"/>
            </w:tcBorders>
            <w:vAlign w:val="center"/>
          </w:tcPr>
          <w:p w14:paraId="52D2E619">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33.47</w:t>
            </w:r>
          </w:p>
        </w:tc>
        <w:tc>
          <w:tcPr>
            <w:tcW w:w="148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71E74A8">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15228.85 </w:t>
            </w:r>
          </w:p>
        </w:tc>
      </w:tr>
      <w:tr w14:paraId="4539200A">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19B967BF">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1048" w:type="dxa"/>
            <w:tcBorders>
              <w:top w:val="single" w:color="000000" w:sz="4" w:space="0"/>
              <w:left w:val="single" w:color="000000" w:sz="4" w:space="0"/>
              <w:bottom w:val="single" w:color="000000" w:sz="4" w:space="0"/>
              <w:right w:val="single" w:color="000000" w:sz="4" w:space="0"/>
            </w:tcBorders>
            <w:vAlign w:val="center"/>
          </w:tcPr>
          <w:p w14:paraId="09DC7676">
            <w:pPr>
              <w:widowControl/>
              <w:topLinePunct/>
              <w:snapToGrid w:val="0"/>
              <w:spacing w:line="240" w:lineRule="auto"/>
              <w:jc w:val="center"/>
              <w:textAlignment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1-182</w:t>
            </w:r>
          </w:p>
        </w:tc>
        <w:tc>
          <w:tcPr>
            <w:tcW w:w="1942" w:type="dxa"/>
            <w:tcBorders>
              <w:top w:val="single" w:color="000000" w:sz="4" w:space="0"/>
              <w:left w:val="single" w:color="000000" w:sz="4" w:space="0"/>
              <w:bottom w:val="single" w:color="000000" w:sz="4" w:space="0"/>
              <w:right w:val="single" w:color="000000" w:sz="4" w:space="0"/>
            </w:tcBorders>
            <w:vAlign w:val="center"/>
          </w:tcPr>
          <w:p w14:paraId="31B690E7">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地面清理平整</w:t>
            </w:r>
          </w:p>
        </w:tc>
        <w:tc>
          <w:tcPr>
            <w:tcW w:w="1033" w:type="dxa"/>
            <w:tcBorders>
              <w:top w:val="single" w:color="000000" w:sz="4" w:space="0"/>
              <w:left w:val="single" w:color="000000" w:sz="4" w:space="0"/>
              <w:bottom w:val="single" w:color="000000" w:sz="4" w:space="0"/>
              <w:right w:val="single" w:color="000000" w:sz="4" w:space="0"/>
            </w:tcBorders>
            <w:vAlign w:val="center"/>
          </w:tcPr>
          <w:p w14:paraId="1B3D9C7C">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069" w:type="dxa"/>
            <w:tcBorders>
              <w:top w:val="single" w:color="000000" w:sz="4" w:space="0"/>
              <w:left w:val="single" w:color="000000" w:sz="4" w:space="0"/>
              <w:bottom w:val="single" w:color="000000" w:sz="4" w:space="0"/>
              <w:right w:val="single" w:color="000000" w:sz="4" w:space="0"/>
            </w:tcBorders>
          </w:tcPr>
          <w:p w14:paraId="5FACF26F">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12540</w:t>
            </w:r>
          </w:p>
        </w:tc>
        <w:tc>
          <w:tcPr>
            <w:tcW w:w="1855" w:type="dxa"/>
            <w:tcBorders>
              <w:top w:val="single" w:color="000000" w:sz="4" w:space="0"/>
              <w:left w:val="single" w:color="000000" w:sz="4" w:space="0"/>
              <w:bottom w:val="single" w:color="000000" w:sz="4" w:space="0"/>
              <w:right w:val="single" w:color="000000" w:sz="4" w:space="0"/>
            </w:tcBorders>
            <w:vAlign w:val="center"/>
          </w:tcPr>
          <w:p w14:paraId="2D9FDC7A">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4.06</w:t>
            </w:r>
          </w:p>
        </w:tc>
        <w:tc>
          <w:tcPr>
            <w:tcW w:w="148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048B533">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50912.40 </w:t>
            </w:r>
          </w:p>
        </w:tc>
      </w:tr>
      <w:tr w14:paraId="21719125">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4372CDCF">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w:t>
            </w:r>
          </w:p>
        </w:tc>
        <w:tc>
          <w:tcPr>
            <w:tcW w:w="1048" w:type="dxa"/>
            <w:tcBorders>
              <w:top w:val="single" w:color="000000" w:sz="4" w:space="0"/>
              <w:left w:val="single" w:color="000000" w:sz="4" w:space="0"/>
              <w:bottom w:val="single" w:color="000000" w:sz="4" w:space="0"/>
              <w:right w:val="single" w:color="000000" w:sz="4" w:space="0"/>
            </w:tcBorders>
            <w:vAlign w:val="center"/>
          </w:tcPr>
          <w:p w14:paraId="2D718C22">
            <w:pPr>
              <w:adjustRightInd w:val="0"/>
              <w:snapToGrid w:val="0"/>
              <w:spacing w:line="240" w:lineRule="auto"/>
              <w:jc w:val="center"/>
              <w:rPr>
                <w:rFonts w:ascii="Times New Roman" w:hAnsi="Times New Roman" w:cs="Times New Roman"/>
                <w:color w:val="000000" w:themeColor="text1"/>
                <w:kern w:val="0"/>
                <w:sz w:val="24"/>
                <w:szCs w:val="24"/>
              </w:rPr>
            </w:pPr>
          </w:p>
        </w:tc>
        <w:tc>
          <w:tcPr>
            <w:tcW w:w="1942" w:type="dxa"/>
            <w:tcBorders>
              <w:top w:val="single" w:color="000000" w:sz="4" w:space="0"/>
              <w:left w:val="single" w:color="000000" w:sz="4" w:space="0"/>
              <w:bottom w:val="single" w:color="000000" w:sz="4" w:space="0"/>
              <w:right w:val="single" w:color="000000" w:sz="4" w:space="0"/>
            </w:tcBorders>
            <w:vAlign w:val="center"/>
          </w:tcPr>
          <w:p w14:paraId="6ED42D2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土壤重构工程</w:t>
            </w:r>
          </w:p>
        </w:tc>
        <w:tc>
          <w:tcPr>
            <w:tcW w:w="1033" w:type="dxa"/>
            <w:tcBorders>
              <w:top w:val="single" w:color="000000" w:sz="4" w:space="0"/>
              <w:left w:val="single" w:color="000000" w:sz="4" w:space="0"/>
              <w:bottom w:val="single" w:color="000000" w:sz="4" w:space="0"/>
              <w:right w:val="single" w:color="000000" w:sz="4" w:space="0"/>
            </w:tcBorders>
            <w:vAlign w:val="center"/>
          </w:tcPr>
          <w:p w14:paraId="176497F8">
            <w:pPr>
              <w:adjustRightInd w:val="0"/>
              <w:snapToGrid w:val="0"/>
              <w:spacing w:line="240" w:lineRule="auto"/>
              <w:jc w:val="center"/>
              <w:rPr>
                <w:rFonts w:ascii="Times New Roman" w:hAnsi="Times New Roman" w:cs="Times New Roman"/>
                <w:color w:val="000000" w:themeColor="text1"/>
                <w:kern w:val="0"/>
                <w:sz w:val="24"/>
                <w:szCs w:val="24"/>
              </w:rPr>
            </w:pPr>
          </w:p>
        </w:tc>
        <w:tc>
          <w:tcPr>
            <w:tcW w:w="1069" w:type="dxa"/>
            <w:tcBorders>
              <w:top w:val="single" w:color="000000" w:sz="4" w:space="0"/>
              <w:left w:val="single" w:color="000000" w:sz="4" w:space="0"/>
              <w:bottom w:val="single" w:color="000000" w:sz="4" w:space="0"/>
              <w:right w:val="single" w:color="000000" w:sz="4" w:space="0"/>
            </w:tcBorders>
            <w:vAlign w:val="center"/>
          </w:tcPr>
          <w:p w14:paraId="02B54194">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855" w:type="dxa"/>
            <w:tcBorders>
              <w:top w:val="single" w:color="000000" w:sz="4" w:space="0"/>
              <w:left w:val="single" w:color="000000" w:sz="4" w:space="0"/>
              <w:bottom w:val="single" w:color="000000" w:sz="4" w:space="0"/>
              <w:right w:val="single" w:color="000000" w:sz="4" w:space="0"/>
            </w:tcBorders>
            <w:vAlign w:val="center"/>
          </w:tcPr>
          <w:p w14:paraId="53AC4A6F">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481" w:type="dxa"/>
            <w:tcBorders>
              <w:top w:val="single" w:color="000000" w:sz="4" w:space="0"/>
              <w:left w:val="single" w:color="000000" w:sz="4" w:space="0"/>
              <w:bottom w:val="single" w:color="000000" w:sz="4" w:space="0"/>
              <w:right w:val="single" w:color="000000" w:sz="12" w:space="0"/>
            </w:tcBorders>
            <w:vAlign w:val="center"/>
          </w:tcPr>
          <w:p w14:paraId="0D68401F">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37800.00 </w:t>
            </w:r>
          </w:p>
        </w:tc>
      </w:tr>
      <w:tr w14:paraId="257892F1">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7DFDB388">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048" w:type="dxa"/>
            <w:tcBorders>
              <w:top w:val="single" w:color="000000" w:sz="4" w:space="0"/>
              <w:left w:val="single" w:color="000000" w:sz="4" w:space="0"/>
              <w:bottom w:val="single" w:color="000000" w:sz="4" w:space="0"/>
              <w:right w:val="single" w:color="000000" w:sz="4" w:space="0"/>
            </w:tcBorders>
            <w:vAlign w:val="center"/>
          </w:tcPr>
          <w:p w14:paraId="03C855DD">
            <w:pPr>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1-29</w:t>
            </w:r>
            <w:r>
              <w:rPr>
                <w:rFonts w:hint="eastAsia" w:ascii="Times New Roman" w:hAnsi="Times New Roman" w:cs="Times New Roman"/>
                <w:color w:val="000000" w:themeColor="text1"/>
                <w:kern w:val="0"/>
                <w:sz w:val="24"/>
                <w:szCs w:val="24"/>
                <w:lang w:val="en-US" w:eastAsia="zh-CN"/>
              </w:rPr>
              <w:t>9</w:t>
            </w:r>
          </w:p>
        </w:tc>
        <w:tc>
          <w:tcPr>
            <w:tcW w:w="19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371AB">
            <w:pPr>
              <w:pStyle w:val="156"/>
              <w:snapToGrid w:val="0"/>
              <w:spacing w:before="3" w:line="240" w:lineRule="auto"/>
              <w:ind w:left="110" w:leftChars="0" w:right="1" w:rightChars="0"/>
              <w:jc w:val="center"/>
              <w:rPr>
                <w:color w:val="000000" w:themeColor="text1"/>
              </w:rPr>
            </w:pPr>
            <w:r>
              <w:rPr>
                <w:rFonts w:eastAsiaTheme="minorEastAsia"/>
                <w:color w:val="000000" w:themeColor="text1"/>
                <w:lang w:eastAsia="en-US"/>
              </w:rPr>
              <w:t>表土</w:t>
            </w:r>
            <w:r>
              <w:rPr>
                <w:rFonts w:hint="eastAsia" w:eastAsiaTheme="minorEastAsia"/>
                <w:color w:val="000000" w:themeColor="text1"/>
                <w:lang w:val="en-US" w:eastAsia="zh-CN"/>
              </w:rPr>
              <w:t>运输</w:t>
            </w:r>
            <w:r>
              <w:rPr>
                <w:rFonts w:hint="eastAsia" w:eastAsiaTheme="minorEastAsia"/>
                <w:color w:val="000000" w:themeColor="text1"/>
                <w:lang w:eastAsia="en-US"/>
              </w:rPr>
              <w:t>回覆</w:t>
            </w:r>
          </w:p>
        </w:tc>
        <w:tc>
          <w:tcPr>
            <w:tcW w:w="10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0C28F">
            <w:pPr>
              <w:pStyle w:val="156"/>
              <w:snapToGrid w:val="0"/>
              <w:spacing w:before="46" w:line="240" w:lineRule="auto"/>
              <w:ind w:left="110"/>
              <w:jc w:val="center"/>
              <w:rPr>
                <w:rFonts w:hint="eastAsia" w:eastAsia="宋体"/>
                <w:color w:val="000000" w:themeColor="text1"/>
                <w:lang w:eastAsia="zh-CN"/>
              </w:rPr>
            </w:pPr>
            <w:r>
              <w:rPr>
                <w:rFonts w:hint="eastAsia"/>
                <w:color w:val="000000" w:themeColor="text1"/>
                <w:lang w:eastAsia="zh-CN"/>
              </w:rPr>
              <w:t>m</w:t>
            </w:r>
            <w:r>
              <w:rPr>
                <w:rFonts w:hint="eastAsia"/>
                <w:strike w:val="0"/>
                <w:dstrike w:val="0"/>
                <w:color w:val="000000" w:themeColor="text1"/>
                <w:vertAlign w:val="superscript"/>
                <w:lang w:eastAsia="zh-CN"/>
              </w:rPr>
              <w:t>3</w:t>
            </w:r>
          </w:p>
        </w:tc>
        <w:tc>
          <w:tcPr>
            <w:tcW w:w="10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172EA">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2700</w:t>
            </w:r>
          </w:p>
        </w:tc>
        <w:tc>
          <w:tcPr>
            <w:tcW w:w="1855" w:type="dxa"/>
            <w:tcBorders>
              <w:top w:val="single" w:color="000000" w:sz="4" w:space="0"/>
              <w:left w:val="single" w:color="000000" w:sz="4" w:space="0"/>
              <w:bottom w:val="single" w:color="000000" w:sz="4" w:space="0"/>
              <w:right w:val="single" w:color="000000" w:sz="4" w:space="0"/>
            </w:tcBorders>
            <w:vAlign w:val="center"/>
          </w:tcPr>
          <w:p w14:paraId="15C51396">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14</w:t>
            </w:r>
            <w:r>
              <w:rPr>
                <w:rFonts w:hint="eastAsia" w:ascii="Times New Roman" w:hAnsi="Times New Roman" w:cs="Times New Roman"/>
                <w:color w:val="000000" w:themeColor="text1"/>
                <w:kern w:val="0"/>
                <w:sz w:val="24"/>
                <w:szCs w:val="24"/>
              </w:rPr>
              <w:t>.00</w:t>
            </w:r>
          </w:p>
        </w:tc>
        <w:tc>
          <w:tcPr>
            <w:tcW w:w="1481" w:type="dxa"/>
            <w:tcBorders>
              <w:top w:val="single" w:color="000000" w:sz="4" w:space="0"/>
              <w:left w:val="single" w:color="000000" w:sz="4" w:space="0"/>
              <w:bottom w:val="single" w:color="000000" w:sz="4" w:space="0"/>
              <w:right w:val="single" w:color="000000" w:sz="12" w:space="0"/>
            </w:tcBorders>
            <w:vAlign w:val="center"/>
          </w:tcPr>
          <w:p w14:paraId="58C090BD">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37800.00 </w:t>
            </w:r>
          </w:p>
        </w:tc>
      </w:tr>
      <w:tr w14:paraId="781DA8C1">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1F4AAAA5">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（四）</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207D3">
            <w:pPr>
              <w:adjustRightInd w:val="0"/>
              <w:snapToGrid w:val="0"/>
              <w:spacing w:line="240" w:lineRule="auto"/>
              <w:jc w:val="center"/>
              <w:rPr>
                <w:rFonts w:ascii="Times New Roman" w:hAnsi="Times New Roman" w:cs="Times New Roman"/>
                <w:color w:val="000000" w:themeColor="text1"/>
                <w:kern w:val="0"/>
                <w:sz w:val="24"/>
                <w:szCs w:val="24"/>
              </w:rPr>
            </w:pPr>
          </w:p>
        </w:tc>
        <w:tc>
          <w:tcPr>
            <w:tcW w:w="1942" w:type="dxa"/>
            <w:tcBorders>
              <w:top w:val="single" w:color="000000" w:sz="4" w:space="0"/>
              <w:left w:val="single" w:color="000000" w:sz="4" w:space="0"/>
              <w:bottom w:val="single" w:color="000000" w:sz="4" w:space="0"/>
              <w:right w:val="single" w:color="000000" w:sz="4" w:space="0"/>
            </w:tcBorders>
            <w:vAlign w:val="center"/>
          </w:tcPr>
          <w:p w14:paraId="12C7BA27">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植被重建工程</w:t>
            </w:r>
          </w:p>
        </w:tc>
        <w:tc>
          <w:tcPr>
            <w:tcW w:w="1033" w:type="dxa"/>
            <w:tcBorders>
              <w:top w:val="single" w:color="000000" w:sz="4" w:space="0"/>
              <w:left w:val="single" w:color="000000" w:sz="4" w:space="0"/>
              <w:bottom w:val="single" w:color="000000" w:sz="4" w:space="0"/>
              <w:right w:val="single" w:color="000000" w:sz="4" w:space="0"/>
            </w:tcBorders>
            <w:vAlign w:val="center"/>
          </w:tcPr>
          <w:p w14:paraId="0286B881">
            <w:pPr>
              <w:adjustRightInd w:val="0"/>
              <w:snapToGrid w:val="0"/>
              <w:spacing w:line="240" w:lineRule="auto"/>
              <w:jc w:val="center"/>
              <w:rPr>
                <w:rFonts w:ascii="Times New Roman" w:hAnsi="Times New Roman" w:cs="Times New Roman"/>
                <w:color w:val="000000" w:themeColor="text1"/>
                <w:kern w:val="0"/>
                <w:sz w:val="24"/>
                <w:szCs w:val="24"/>
              </w:rPr>
            </w:pPr>
          </w:p>
        </w:tc>
        <w:tc>
          <w:tcPr>
            <w:tcW w:w="1069" w:type="dxa"/>
            <w:tcBorders>
              <w:top w:val="single" w:color="000000" w:sz="4" w:space="0"/>
              <w:left w:val="single" w:color="000000" w:sz="4" w:space="0"/>
              <w:bottom w:val="single" w:color="000000" w:sz="4" w:space="0"/>
              <w:right w:val="single" w:color="000000" w:sz="4" w:space="0"/>
            </w:tcBorders>
            <w:vAlign w:val="center"/>
          </w:tcPr>
          <w:p w14:paraId="20B5C7BE">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855" w:type="dxa"/>
            <w:tcBorders>
              <w:top w:val="single" w:color="000000" w:sz="4" w:space="0"/>
              <w:left w:val="single" w:color="000000" w:sz="4" w:space="0"/>
              <w:bottom w:val="single" w:color="000000" w:sz="4" w:space="0"/>
              <w:right w:val="single" w:color="000000" w:sz="4" w:space="0"/>
            </w:tcBorders>
            <w:vAlign w:val="center"/>
          </w:tcPr>
          <w:p w14:paraId="11A1F1B0">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481" w:type="dxa"/>
            <w:tcBorders>
              <w:top w:val="single" w:color="000000" w:sz="4" w:space="0"/>
              <w:left w:val="single" w:color="000000" w:sz="4" w:space="0"/>
              <w:bottom w:val="single" w:color="000000" w:sz="4" w:space="0"/>
              <w:right w:val="single" w:color="000000" w:sz="12" w:space="0"/>
            </w:tcBorders>
            <w:vAlign w:val="center"/>
          </w:tcPr>
          <w:p w14:paraId="62BAECEE">
            <w:pPr>
              <w:widowControl/>
              <w:topLinePunct/>
              <w:snapToGrid w:val="0"/>
              <w:spacing w:line="240" w:lineRule="auto"/>
              <w:jc w:val="center"/>
              <w:rPr>
                <w:rFonts w:hint="eastAsia"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rPr>
              <w:t>358692.5</w:t>
            </w:r>
            <w:r>
              <w:rPr>
                <w:rFonts w:hint="eastAsia" w:ascii="Times New Roman" w:hAnsi="Times New Roman" w:cs="Times New Roman"/>
                <w:color w:val="000000" w:themeColor="text1"/>
                <w:kern w:val="0"/>
                <w:sz w:val="24"/>
                <w:szCs w:val="24"/>
                <w:lang w:val="en-US" w:eastAsia="zh-CN"/>
              </w:rPr>
              <w:t>0</w:t>
            </w:r>
          </w:p>
        </w:tc>
      </w:tr>
      <w:tr w14:paraId="323A6A79">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52E8BB2F">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048" w:type="dxa"/>
            <w:tcBorders>
              <w:top w:val="single" w:color="000000" w:sz="4" w:space="0"/>
              <w:left w:val="single" w:color="000000" w:sz="4" w:space="0"/>
              <w:bottom w:val="single" w:color="000000" w:sz="4" w:space="0"/>
              <w:right w:val="single" w:color="000000" w:sz="4" w:space="0"/>
            </w:tcBorders>
            <w:vAlign w:val="center"/>
          </w:tcPr>
          <w:p w14:paraId="5AA8F34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9-001</w:t>
            </w:r>
          </w:p>
        </w:tc>
        <w:tc>
          <w:tcPr>
            <w:tcW w:w="1942" w:type="dxa"/>
            <w:tcBorders>
              <w:top w:val="single" w:color="000000" w:sz="4" w:space="0"/>
              <w:left w:val="single" w:color="000000" w:sz="4" w:space="0"/>
              <w:bottom w:val="single" w:color="000000" w:sz="4" w:space="0"/>
              <w:right w:val="single" w:color="000000" w:sz="4" w:space="0"/>
            </w:tcBorders>
            <w:vAlign w:val="center"/>
          </w:tcPr>
          <w:p w14:paraId="1888D522">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栽植乔木</w:t>
            </w:r>
          </w:p>
        </w:tc>
        <w:tc>
          <w:tcPr>
            <w:tcW w:w="1033" w:type="dxa"/>
            <w:tcBorders>
              <w:top w:val="single" w:color="000000" w:sz="4" w:space="0"/>
              <w:left w:val="single" w:color="000000" w:sz="4" w:space="0"/>
              <w:bottom w:val="single" w:color="000000" w:sz="4" w:space="0"/>
              <w:right w:val="single" w:color="000000" w:sz="4" w:space="0"/>
            </w:tcBorders>
            <w:vAlign w:val="center"/>
          </w:tcPr>
          <w:p w14:paraId="7C316D6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株</w:t>
            </w:r>
          </w:p>
        </w:tc>
        <w:tc>
          <w:tcPr>
            <w:tcW w:w="1069" w:type="dxa"/>
            <w:tcBorders>
              <w:top w:val="single" w:color="000000" w:sz="4" w:space="0"/>
              <w:left w:val="single" w:color="000000" w:sz="4" w:space="0"/>
              <w:bottom w:val="single" w:color="000000" w:sz="4" w:space="0"/>
              <w:right w:val="single" w:color="000000" w:sz="4" w:space="0"/>
            </w:tcBorders>
          </w:tcPr>
          <w:p w14:paraId="3A66440E">
            <w:pPr>
              <w:widowControl/>
              <w:topLinePunct/>
              <w:snapToGrid w:val="0"/>
              <w:spacing w:line="240" w:lineRule="auto"/>
              <w:jc w:val="center"/>
              <w:rPr>
                <w:rFonts w:hint="eastAsia" w:ascii="Times New Roman" w:hAnsi="Times New Roman"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31350</w:t>
            </w:r>
          </w:p>
        </w:tc>
        <w:tc>
          <w:tcPr>
            <w:tcW w:w="1855" w:type="dxa"/>
            <w:tcBorders>
              <w:top w:val="single" w:color="000000" w:sz="4" w:space="0"/>
              <w:left w:val="single" w:color="000000" w:sz="4" w:space="0"/>
              <w:bottom w:val="single" w:color="000000" w:sz="4" w:space="0"/>
              <w:right w:val="single" w:color="000000" w:sz="4" w:space="0"/>
            </w:tcBorders>
            <w:vAlign w:val="center"/>
          </w:tcPr>
          <w:p w14:paraId="065A2245">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11.07</w:t>
            </w:r>
          </w:p>
        </w:tc>
        <w:tc>
          <w:tcPr>
            <w:tcW w:w="148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0EC217F">
            <w:pPr>
              <w:widowControl/>
              <w:topLinePunct/>
              <w:snapToGrid w:val="0"/>
              <w:spacing w:line="240" w:lineRule="auto"/>
              <w:jc w:val="center"/>
              <w:rPr>
                <w:rFonts w:hint="default" w:ascii="Times New Roman" w:hAnsi="Times New Roman" w:cs="Times New Roman"/>
                <w:color w:val="000000" w:themeColor="text1"/>
                <w:kern w:val="0"/>
                <w:sz w:val="24"/>
                <w:szCs w:val="24"/>
                <w:lang w:val="en-US"/>
              </w:rPr>
            </w:pPr>
            <w:r>
              <w:rPr>
                <w:rFonts w:hint="default" w:ascii="Times New Roman" w:hAnsi="Times New Roman" w:cs="Times New Roman"/>
                <w:color w:val="000000" w:themeColor="text1"/>
                <w:kern w:val="0"/>
                <w:sz w:val="24"/>
                <w:szCs w:val="24"/>
                <w:lang w:val="en-US" w:eastAsia="zh-CN"/>
              </w:rPr>
              <w:t xml:space="preserve">347044.50 </w:t>
            </w:r>
          </w:p>
        </w:tc>
      </w:tr>
      <w:tr w14:paraId="04B5CB3A">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54D62C07">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048" w:type="dxa"/>
            <w:tcBorders>
              <w:top w:val="single" w:color="000000" w:sz="4" w:space="0"/>
              <w:left w:val="single" w:color="000000" w:sz="4" w:space="0"/>
              <w:bottom w:val="single" w:color="000000" w:sz="4" w:space="0"/>
              <w:right w:val="single" w:color="000000" w:sz="4" w:space="0"/>
            </w:tcBorders>
            <w:vAlign w:val="center"/>
          </w:tcPr>
          <w:p w14:paraId="6DABF9A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9-018</w:t>
            </w:r>
          </w:p>
        </w:tc>
        <w:tc>
          <w:tcPr>
            <w:tcW w:w="1942" w:type="dxa"/>
            <w:tcBorders>
              <w:top w:val="single" w:color="000000" w:sz="4" w:space="0"/>
              <w:left w:val="single" w:color="000000" w:sz="4" w:space="0"/>
              <w:bottom w:val="single" w:color="000000" w:sz="4" w:space="0"/>
              <w:right w:val="single" w:color="000000" w:sz="4" w:space="0"/>
            </w:tcBorders>
            <w:vAlign w:val="center"/>
          </w:tcPr>
          <w:p w14:paraId="3CAB5A5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栽植常春藤</w:t>
            </w:r>
          </w:p>
        </w:tc>
        <w:tc>
          <w:tcPr>
            <w:tcW w:w="1033" w:type="dxa"/>
            <w:tcBorders>
              <w:top w:val="single" w:color="000000" w:sz="4" w:space="0"/>
              <w:left w:val="single" w:color="000000" w:sz="4" w:space="0"/>
              <w:bottom w:val="single" w:color="000000" w:sz="4" w:space="0"/>
              <w:right w:val="single" w:color="000000" w:sz="4" w:space="0"/>
            </w:tcBorders>
            <w:vAlign w:val="center"/>
          </w:tcPr>
          <w:p w14:paraId="59773F71">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株</w:t>
            </w:r>
          </w:p>
        </w:tc>
        <w:tc>
          <w:tcPr>
            <w:tcW w:w="1069" w:type="dxa"/>
            <w:tcBorders>
              <w:top w:val="single" w:color="000000" w:sz="4" w:space="0"/>
              <w:left w:val="single" w:color="000000" w:sz="4" w:space="0"/>
              <w:bottom w:val="single" w:color="000000" w:sz="4" w:space="0"/>
              <w:right w:val="single" w:color="000000" w:sz="4" w:space="0"/>
            </w:tcBorders>
          </w:tcPr>
          <w:p w14:paraId="574D7FEA">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5200</w:t>
            </w:r>
          </w:p>
        </w:tc>
        <w:tc>
          <w:tcPr>
            <w:tcW w:w="1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99399">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2.24</w:t>
            </w:r>
          </w:p>
        </w:tc>
        <w:tc>
          <w:tcPr>
            <w:tcW w:w="1481" w:type="dxa"/>
            <w:tcBorders>
              <w:top w:val="single" w:color="000000" w:sz="4" w:space="0"/>
              <w:left w:val="single" w:color="000000" w:sz="4" w:space="0"/>
              <w:bottom w:val="single" w:color="000000" w:sz="4" w:space="0"/>
              <w:right w:val="single" w:color="000000" w:sz="12" w:space="0"/>
            </w:tcBorders>
            <w:vAlign w:val="center"/>
          </w:tcPr>
          <w:p w14:paraId="3F2AB4E5">
            <w:pPr>
              <w:widowControl/>
              <w:topLinePunct/>
              <w:snapToGrid w:val="0"/>
              <w:spacing w:line="240" w:lineRule="auto"/>
              <w:jc w:val="center"/>
              <w:rPr>
                <w:rFonts w:hint="default" w:ascii="Times New Roman" w:hAnsi="Times New Roman" w:cs="Times New Roman"/>
                <w:color w:val="000000" w:themeColor="text1"/>
                <w:kern w:val="0"/>
                <w:sz w:val="24"/>
                <w:szCs w:val="24"/>
                <w:lang w:val="en-US"/>
              </w:rPr>
            </w:pPr>
            <w:r>
              <w:rPr>
                <w:rFonts w:hint="default" w:ascii="Times New Roman" w:hAnsi="Times New Roman" w:cs="Times New Roman"/>
                <w:color w:val="000000" w:themeColor="text1"/>
                <w:kern w:val="0"/>
                <w:sz w:val="24"/>
                <w:szCs w:val="24"/>
                <w:lang w:val="en-US" w:eastAsia="zh-CN"/>
              </w:rPr>
              <w:t xml:space="preserve">11648.00 </w:t>
            </w:r>
          </w:p>
        </w:tc>
      </w:tr>
      <w:tr w14:paraId="0AA1A2CA">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5184AEC4">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（五）</w:t>
            </w:r>
          </w:p>
        </w:tc>
        <w:tc>
          <w:tcPr>
            <w:tcW w:w="1048" w:type="dxa"/>
            <w:tcBorders>
              <w:top w:val="single" w:color="000000" w:sz="4" w:space="0"/>
              <w:left w:val="single" w:color="000000" w:sz="4" w:space="0"/>
              <w:bottom w:val="single" w:color="000000" w:sz="4" w:space="0"/>
              <w:right w:val="single" w:color="000000" w:sz="4" w:space="0"/>
            </w:tcBorders>
            <w:vAlign w:val="center"/>
          </w:tcPr>
          <w:p w14:paraId="7933F1AE">
            <w:pPr>
              <w:adjustRightInd w:val="0"/>
              <w:snapToGrid w:val="0"/>
              <w:spacing w:line="240" w:lineRule="auto"/>
              <w:jc w:val="center"/>
              <w:rPr>
                <w:rFonts w:ascii="Times New Roman" w:hAnsi="Times New Roman" w:cs="Times New Roman"/>
                <w:color w:val="000000" w:themeColor="text1"/>
                <w:kern w:val="0"/>
                <w:sz w:val="24"/>
                <w:szCs w:val="24"/>
              </w:rPr>
            </w:pPr>
          </w:p>
        </w:tc>
        <w:tc>
          <w:tcPr>
            <w:tcW w:w="1942" w:type="dxa"/>
            <w:tcBorders>
              <w:top w:val="single" w:color="000000" w:sz="4" w:space="0"/>
              <w:left w:val="single" w:color="000000" w:sz="4" w:space="0"/>
              <w:bottom w:val="single" w:color="000000" w:sz="4" w:space="0"/>
              <w:right w:val="single" w:color="000000" w:sz="4" w:space="0"/>
            </w:tcBorders>
            <w:vAlign w:val="center"/>
          </w:tcPr>
          <w:p w14:paraId="7FCAFDB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景观营建工程</w:t>
            </w:r>
          </w:p>
        </w:tc>
        <w:tc>
          <w:tcPr>
            <w:tcW w:w="1033" w:type="dxa"/>
            <w:tcBorders>
              <w:top w:val="single" w:color="000000" w:sz="4" w:space="0"/>
              <w:left w:val="single" w:color="000000" w:sz="4" w:space="0"/>
              <w:bottom w:val="single" w:color="000000" w:sz="4" w:space="0"/>
              <w:right w:val="single" w:color="000000" w:sz="4" w:space="0"/>
            </w:tcBorders>
            <w:vAlign w:val="center"/>
          </w:tcPr>
          <w:p w14:paraId="3EE7DD38">
            <w:pPr>
              <w:adjustRightInd w:val="0"/>
              <w:snapToGrid w:val="0"/>
              <w:spacing w:line="240" w:lineRule="auto"/>
              <w:jc w:val="center"/>
              <w:rPr>
                <w:rFonts w:ascii="Times New Roman" w:hAnsi="Times New Roman" w:cs="Times New Roman"/>
                <w:color w:val="000000" w:themeColor="text1"/>
                <w:kern w:val="0"/>
                <w:sz w:val="24"/>
                <w:szCs w:val="24"/>
              </w:rPr>
            </w:pPr>
          </w:p>
        </w:tc>
        <w:tc>
          <w:tcPr>
            <w:tcW w:w="1069" w:type="dxa"/>
            <w:tcBorders>
              <w:top w:val="single" w:color="000000" w:sz="4" w:space="0"/>
              <w:left w:val="single" w:color="000000" w:sz="4" w:space="0"/>
              <w:bottom w:val="single" w:color="000000" w:sz="4" w:space="0"/>
              <w:right w:val="single" w:color="000000" w:sz="4" w:space="0"/>
            </w:tcBorders>
            <w:vAlign w:val="center"/>
          </w:tcPr>
          <w:p w14:paraId="3CAF2754">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855" w:type="dxa"/>
            <w:tcBorders>
              <w:top w:val="single" w:color="000000" w:sz="4" w:space="0"/>
              <w:left w:val="single" w:color="000000" w:sz="4" w:space="0"/>
              <w:bottom w:val="single" w:color="000000" w:sz="4" w:space="0"/>
              <w:right w:val="single" w:color="000000" w:sz="4" w:space="0"/>
            </w:tcBorders>
            <w:vAlign w:val="center"/>
          </w:tcPr>
          <w:p w14:paraId="17F8C44F">
            <w:pPr>
              <w:widowControl/>
              <w:topLinePunct/>
              <w:snapToGrid w:val="0"/>
              <w:spacing w:line="240" w:lineRule="auto"/>
              <w:jc w:val="center"/>
              <w:rPr>
                <w:rFonts w:hint="eastAsia" w:ascii="Times New Roman" w:hAnsi="Times New Roman" w:cs="Times New Roman"/>
                <w:color w:val="000000" w:themeColor="text1"/>
                <w:kern w:val="0"/>
                <w:sz w:val="24"/>
                <w:szCs w:val="24"/>
              </w:rPr>
            </w:pPr>
          </w:p>
        </w:tc>
        <w:tc>
          <w:tcPr>
            <w:tcW w:w="1481" w:type="dxa"/>
            <w:tcBorders>
              <w:top w:val="single" w:color="000000" w:sz="4" w:space="0"/>
              <w:left w:val="single" w:color="000000" w:sz="4" w:space="0"/>
              <w:bottom w:val="single" w:color="000000" w:sz="4" w:space="0"/>
              <w:right w:val="single" w:color="000000" w:sz="12" w:space="0"/>
            </w:tcBorders>
            <w:vAlign w:val="center"/>
          </w:tcPr>
          <w:p w14:paraId="77D475DD">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4976.00</w:t>
            </w:r>
          </w:p>
        </w:tc>
      </w:tr>
      <w:tr w14:paraId="68E8B133">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279E1F3A">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048" w:type="dxa"/>
            <w:tcBorders>
              <w:top w:val="single" w:color="000000" w:sz="4" w:space="0"/>
              <w:left w:val="single" w:color="000000" w:sz="4" w:space="0"/>
              <w:bottom w:val="single" w:color="000000" w:sz="4" w:space="0"/>
              <w:right w:val="single" w:color="000000" w:sz="4" w:space="0"/>
            </w:tcBorders>
            <w:vAlign w:val="center"/>
          </w:tcPr>
          <w:p w14:paraId="7DC4C656">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市场价</w:t>
            </w:r>
          </w:p>
        </w:tc>
        <w:tc>
          <w:tcPr>
            <w:tcW w:w="1942" w:type="dxa"/>
            <w:tcBorders>
              <w:top w:val="single" w:color="000000" w:sz="4" w:space="0"/>
              <w:left w:val="single" w:color="000000" w:sz="4" w:space="0"/>
              <w:bottom w:val="single" w:color="000000" w:sz="4" w:space="0"/>
              <w:right w:val="single" w:color="000000" w:sz="4" w:space="0"/>
            </w:tcBorders>
            <w:vAlign w:val="center"/>
          </w:tcPr>
          <w:p w14:paraId="0EE531D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警示牌</w:t>
            </w:r>
          </w:p>
        </w:tc>
        <w:tc>
          <w:tcPr>
            <w:tcW w:w="1033" w:type="dxa"/>
            <w:tcBorders>
              <w:top w:val="single" w:color="000000" w:sz="4" w:space="0"/>
              <w:left w:val="single" w:color="000000" w:sz="4" w:space="0"/>
              <w:bottom w:val="single" w:color="000000" w:sz="4" w:space="0"/>
              <w:right w:val="single" w:color="000000" w:sz="4" w:space="0"/>
            </w:tcBorders>
            <w:vAlign w:val="center"/>
          </w:tcPr>
          <w:p w14:paraId="41ECBC9F">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个</w:t>
            </w:r>
          </w:p>
        </w:tc>
        <w:tc>
          <w:tcPr>
            <w:tcW w:w="1069" w:type="dxa"/>
            <w:tcBorders>
              <w:top w:val="single" w:color="000000" w:sz="4" w:space="0"/>
              <w:left w:val="single" w:color="000000" w:sz="4" w:space="0"/>
              <w:bottom w:val="single" w:color="000000" w:sz="4" w:space="0"/>
              <w:right w:val="single" w:color="000000" w:sz="4" w:space="0"/>
            </w:tcBorders>
          </w:tcPr>
          <w:p w14:paraId="7E8FBC5A">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13</w:t>
            </w:r>
          </w:p>
        </w:tc>
        <w:tc>
          <w:tcPr>
            <w:tcW w:w="1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4F9A4">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200.00</w:t>
            </w:r>
          </w:p>
        </w:tc>
        <w:tc>
          <w:tcPr>
            <w:tcW w:w="1481" w:type="dxa"/>
            <w:tcBorders>
              <w:top w:val="single" w:color="000000" w:sz="4" w:space="0"/>
              <w:left w:val="single" w:color="000000" w:sz="4" w:space="0"/>
              <w:bottom w:val="single" w:color="000000" w:sz="4" w:space="0"/>
              <w:right w:val="single" w:color="000000" w:sz="12" w:space="0"/>
            </w:tcBorders>
            <w:vAlign w:val="center"/>
          </w:tcPr>
          <w:p w14:paraId="1996A88F">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2600.00 </w:t>
            </w:r>
          </w:p>
        </w:tc>
      </w:tr>
      <w:tr w14:paraId="43EE41DF">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4" w:space="0"/>
              <w:right w:val="single" w:color="000000" w:sz="4" w:space="0"/>
            </w:tcBorders>
            <w:vAlign w:val="center"/>
          </w:tcPr>
          <w:p w14:paraId="51189303">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val="en-US" w:eastAsia="zh-CN"/>
              </w:rPr>
              <w:t>2</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79CD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1-283</w:t>
            </w:r>
          </w:p>
        </w:tc>
        <w:tc>
          <w:tcPr>
            <w:tcW w:w="1942" w:type="dxa"/>
            <w:tcBorders>
              <w:top w:val="single" w:color="000000" w:sz="4" w:space="0"/>
              <w:left w:val="single" w:color="000000" w:sz="4" w:space="0"/>
              <w:bottom w:val="single" w:color="000000" w:sz="4" w:space="0"/>
              <w:right w:val="single" w:color="000000" w:sz="4" w:space="0"/>
            </w:tcBorders>
            <w:vAlign w:val="center"/>
          </w:tcPr>
          <w:p w14:paraId="37737D3E">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开挖汇水渠</w:t>
            </w:r>
          </w:p>
        </w:tc>
        <w:tc>
          <w:tcPr>
            <w:tcW w:w="1033" w:type="dxa"/>
            <w:tcBorders>
              <w:top w:val="single" w:color="000000" w:sz="4" w:space="0"/>
              <w:left w:val="single" w:color="000000" w:sz="4" w:space="0"/>
              <w:bottom w:val="single" w:color="000000" w:sz="4" w:space="0"/>
              <w:right w:val="single" w:color="000000" w:sz="4" w:space="0"/>
            </w:tcBorders>
            <w:vAlign w:val="center"/>
          </w:tcPr>
          <w:p w14:paraId="5D2F922E">
            <w:pPr>
              <w:adjustRightInd w:val="0"/>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069" w:type="dxa"/>
            <w:tcBorders>
              <w:top w:val="single" w:color="000000" w:sz="4" w:space="0"/>
              <w:left w:val="single" w:color="000000" w:sz="4" w:space="0"/>
              <w:bottom w:val="single" w:color="000000" w:sz="4" w:space="0"/>
              <w:right w:val="single" w:color="000000" w:sz="4" w:space="0"/>
            </w:tcBorders>
          </w:tcPr>
          <w:p w14:paraId="48CB53A6">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900</w:t>
            </w:r>
          </w:p>
        </w:tc>
        <w:tc>
          <w:tcPr>
            <w:tcW w:w="1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9E24B">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2.64</w:t>
            </w:r>
          </w:p>
        </w:tc>
        <w:tc>
          <w:tcPr>
            <w:tcW w:w="1481" w:type="dxa"/>
            <w:tcBorders>
              <w:top w:val="single" w:color="000000" w:sz="4" w:space="0"/>
              <w:left w:val="single" w:color="000000" w:sz="4" w:space="0"/>
              <w:bottom w:val="single" w:color="000000" w:sz="4" w:space="0"/>
              <w:right w:val="single" w:color="000000" w:sz="12" w:space="0"/>
            </w:tcBorders>
            <w:vAlign w:val="center"/>
          </w:tcPr>
          <w:p w14:paraId="3745C6FC">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2376.00 </w:t>
            </w:r>
          </w:p>
        </w:tc>
      </w:tr>
      <w:tr w14:paraId="13200EC3">
        <w:tblPrEx>
          <w:tblCellMar>
            <w:top w:w="0" w:type="dxa"/>
            <w:left w:w="0" w:type="dxa"/>
            <w:bottom w:w="0" w:type="dxa"/>
            <w:right w:w="0" w:type="dxa"/>
          </w:tblCellMar>
        </w:tblPrEx>
        <w:trPr>
          <w:trHeight w:val="23" w:hRule="atLeast"/>
        </w:trPr>
        <w:tc>
          <w:tcPr>
            <w:tcW w:w="700" w:type="dxa"/>
            <w:tcBorders>
              <w:top w:val="single" w:color="000000" w:sz="4" w:space="0"/>
              <w:left w:val="single" w:color="000000" w:sz="12" w:space="0"/>
              <w:bottom w:val="single" w:color="000000" w:sz="12" w:space="0"/>
              <w:right w:val="single" w:color="000000" w:sz="4" w:space="0"/>
            </w:tcBorders>
            <w:vAlign w:val="center"/>
          </w:tcPr>
          <w:p w14:paraId="5B2385E2">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48" w:type="dxa"/>
            <w:tcBorders>
              <w:top w:val="single" w:color="000000" w:sz="4" w:space="0"/>
              <w:left w:val="single" w:color="000000" w:sz="4" w:space="0"/>
              <w:bottom w:val="single" w:color="000000" w:sz="12" w:space="0"/>
              <w:right w:val="single" w:color="000000" w:sz="4" w:space="0"/>
            </w:tcBorders>
            <w:vAlign w:val="center"/>
          </w:tcPr>
          <w:p w14:paraId="76115EF0">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942" w:type="dxa"/>
            <w:tcBorders>
              <w:top w:val="single" w:color="000000" w:sz="4" w:space="0"/>
              <w:left w:val="single" w:color="000000" w:sz="4" w:space="0"/>
              <w:bottom w:val="single" w:color="000000" w:sz="12" w:space="0"/>
              <w:right w:val="single" w:color="000000" w:sz="4" w:space="0"/>
            </w:tcBorders>
            <w:vAlign w:val="center"/>
          </w:tcPr>
          <w:p w14:paraId="2E70B459">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1033" w:type="dxa"/>
            <w:tcBorders>
              <w:top w:val="single" w:color="000000" w:sz="4" w:space="0"/>
              <w:left w:val="single" w:color="000000" w:sz="4" w:space="0"/>
              <w:bottom w:val="single" w:color="000000" w:sz="12" w:space="0"/>
              <w:right w:val="single" w:color="000000" w:sz="4" w:space="0"/>
            </w:tcBorders>
            <w:vAlign w:val="center"/>
          </w:tcPr>
          <w:p w14:paraId="1E962A6F">
            <w:pPr>
              <w:adjustRightInd w:val="0"/>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69" w:type="dxa"/>
            <w:tcBorders>
              <w:top w:val="single" w:color="000000" w:sz="4" w:space="0"/>
              <w:left w:val="single" w:color="000000" w:sz="4" w:space="0"/>
              <w:bottom w:val="single" w:color="000000" w:sz="12" w:space="0"/>
              <w:right w:val="single" w:color="000000" w:sz="4" w:space="0"/>
            </w:tcBorders>
            <w:vAlign w:val="center"/>
          </w:tcPr>
          <w:p w14:paraId="3DDB83DB">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w:t>
            </w:r>
          </w:p>
        </w:tc>
        <w:tc>
          <w:tcPr>
            <w:tcW w:w="1855" w:type="dxa"/>
            <w:tcBorders>
              <w:top w:val="single" w:color="000000" w:sz="4" w:space="0"/>
              <w:left w:val="single" w:color="000000" w:sz="4" w:space="0"/>
              <w:bottom w:val="single" w:color="000000" w:sz="12" w:space="0"/>
              <w:right w:val="single" w:color="000000" w:sz="4" w:space="0"/>
            </w:tcBorders>
            <w:vAlign w:val="center"/>
          </w:tcPr>
          <w:p w14:paraId="3127EEEB">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w:t>
            </w:r>
          </w:p>
        </w:tc>
        <w:tc>
          <w:tcPr>
            <w:tcW w:w="1481" w:type="dxa"/>
            <w:tcBorders>
              <w:top w:val="single" w:color="000000" w:sz="4" w:space="0"/>
              <w:left w:val="single" w:color="000000" w:sz="4" w:space="0"/>
              <w:bottom w:val="single" w:color="000000" w:sz="12" w:space="0"/>
              <w:right w:val="single" w:color="000000" w:sz="12" w:space="0"/>
            </w:tcBorders>
            <w:vAlign w:val="center"/>
          </w:tcPr>
          <w:p w14:paraId="78B7F22B">
            <w:pPr>
              <w:widowControl/>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600997.35</w:t>
            </w:r>
          </w:p>
        </w:tc>
      </w:tr>
    </w:tbl>
    <w:p w14:paraId="2C38C312">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表6-8 其他费用估算表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066"/>
        <w:gridCol w:w="2324"/>
        <w:gridCol w:w="2942"/>
        <w:gridCol w:w="2768"/>
      </w:tblGrid>
      <w:tr w14:paraId="1FC3B3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5D3683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序号</w:t>
            </w:r>
          </w:p>
        </w:tc>
        <w:tc>
          <w:tcPr>
            <w:tcW w:w="2324" w:type="dxa"/>
            <w:vAlign w:val="center"/>
          </w:tcPr>
          <w:p w14:paraId="278791A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费用名称</w:t>
            </w:r>
          </w:p>
        </w:tc>
        <w:tc>
          <w:tcPr>
            <w:tcW w:w="2942" w:type="dxa"/>
            <w:vAlign w:val="center"/>
          </w:tcPr>
          <w:p w14:paraId="09CB0E6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计算式</w:t>
            </w:r>
          </w:p>
        </w:tc>
        <w:tc>
          <w:tcPr>
            <w:tcW w:w="2768" w:type="dxa"/>
            <w:vAlign w:val="center"/>
          </w:tcPr>
          <w:p w14:paraId="1BA4698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预算金额（万元）</w:t>
            </w:r>
          </w:p>
        </w:tc>
      </w:tr>
      <w:tr w14:paraId="6A8155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58122A0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324" w:type="dxa"/>
            <w:vAlign w:val="center"/>
          </w:tcPr>
          <w:p w14:paraId="3FBDC4C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前期工作费</w:t>
            </w:r>
          </w:p>
        </w:tc>
        <w:tc>
          <w:tcPr>
            <w:tcW w:w="2942" w:type="dxa"/>
            <w:vAlign w:val="center"/>
          </w:tcPr>
          <w:p w14:paraId="4F943E8C">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60.10</w:t>
            </w:r>
            <w:r>
              <w:rPr>
                <w:rFonts w:ascii="Times New Roman" w:hAnsi="Times New Roman" w:cs="Times New Roman"/>
                <w:color w:val="000000" w:themeColor="text1"/>
                <w:kern w:val="0"/>
                <w:sz w:val="24"/>
                <w:szCs w:val="24"/>
              </w:rPr>
              <w:t>×费率5%</w:t>
            </w:r>
          </w:p>
        </w:tc>
        <w:tc>
          <w:tcPr>
            <w:tcW w:w="2768" w:type="dxa"/>
            <w:vAlign w:val="center"/>
          </w:tcPr>
          <w:p w14:paraId="33D42496">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eastAsia="宋体" w:cs="Times New Roman"/>
                <w:color w:val="000000" w:themeColor="text1"/>
                <w:kern w:val="0"/>
                <w:sz w:val="24"/>
                <w:szCs w:val="24"/>
                <w:lang w:val="en-US" w:eastAsia="zh-CN"/>
              </w:rPr>
              <w:t xml:space="preserve">1.20 </w:t>
            </w:r>
          </w:p>
        </w:tc>
      </w:tr>
      <w:tr w14:paraId="492501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6248A4C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324" w:type="dxa"/>
            <w:vAlign w:val="center"/>
          </w:tcPr>
          <w:p w14:paraId="1B6D70A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工程监理费</w:t>
            </w:r>
          </w:p>
        </w:tc>
        <w:tc>
          <w:tcPr>
            <w:tcW w:w="2942" w:type="dxa"/>
            <w:vAlign w:val="center"/>
          </w:tcPr>
          <w:p w14:paraId="0096E49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60.10</w:t>
            </w:r>
            <w:r>
              <w:rPr>
                <w:rFonts w:ascii="Times New Roman" w:hAnsi="Times New Roman" w:cs="Times New Roman"/>
                <w:color w:val="000000" w:themeColor="text1"/>
                <w:kern w:val="0"/>
                <w:sz w:val="24"/>
                <w:szCs w:val="24"/>
              </w:rPr>
              <w:t>×费率2%</w:t>
            </w:r>
          </w:p>
        </w:tc>
        <w:tc>
          <w:tcPr>
            <w:tcW w:w="2768" w:type="dxa"/>
            <w:vAlign w:val="center"/>
          </w:tcPr>
          <w:p w14:paraId="4EEAFF0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eastAsia="宋体" w:cs="Times New Roman"/>
                <w:color w:val="000000" w:themeColor="text1"/>
                <w:kern w:val="0"/>
                <w:sz w:val="24"/>
                <w:szCs w:val="24"/>
                <w:lang w:val="en-US" w:eastAsia="zh-CN"/>
              </w:rPr>
              <w:t xml:space="preserve">3.00 </w:t>
            </w:r>
          </w:p>
        </w:tc>
      </w:tr>
      <w:tr w14:paraId="264354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4D945F9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324" w:type="dxa"/>
            <w:vAlign w:val="center"/>
          </w:tcPr>
          <w:p w14:paraId="670C607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竣工验收费</w:t>
            </w:r>
          </w:p>
        </w:tc>
        <w:tc>
          <w:tcPr>
            <w:tcW w:w="2942" w:type="dxa"/>
            <w:vAlign w:val="center"/>
          </w:tcPr>
          <w:p w14:paraId="62C5C829">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60.10</w:t>
            </w:r>
            <w:r>
              <w:rPr>
                <w:rFonts w:ascii="Times New Roman" w:hAnsi="Times New Roman" w:cs="Times New Roman"/>
                <w:color w:val="000000" w:themeColor="text1"/>
                <w:kern w:val="0"/>
                <w:sz w:val="24"/>
                <w:szCs w:val="24"/>
              </w:rPr>
              <w:t>×费率3%</w:t>
            </w:r>
          </w:p>
        </w:tc>
        <w:tc>
          <w:tcPr>
            <w:tcW w:w="2768" w:type="dxa"/>
            <w:vAlign w:val="center"/>
          </w:tcPr>
          <w:p w14:paraId="3EE8DA4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eastAsia="宋体" w:cs="Times New Roman"/>
                <w:color w:val="000000" w:themeColor="text1"/>
                <w:kern w:val="0"/>
                <w:sz w:val="24"/>
                <w:szCs w:val="24"/>
                <w:lang w:val="en-US" w:eastAsia="zh-CN"/>
              </w:rPr>
              <w:t xml:space="preserve">1.80 </w:t>
            </w:r>
          </w:p>
        </w:tc>
      </w:tr>
      <w:tr w14:paraId="443497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635F3C8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2324" w:type="dxa"/>
            <w:vAlign w:val="center"/>
          </w:tcPr>
          <w:p w14:paraId="127A9BF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业主管理费</w:t>
            </w:r>
          </w:p>
        </w:tc>
        <w:tc>
          <w:tcPr>
            <w:tcW w:w="2942" w:type="dxa"/>
            <w:vAlign w:val="center"/>
          </w:tcPr>
          <w:p w14:paraId="4BD20DA0">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66.11</w:t>
            </w:r>
            <w:r>
              <w:rPr>
                <w:rFonts w:ascii="Times New Roman" w:hAnsi="Times New Roman" w:cs="Times New Roman"/>
                <w:color w:val="000000" w:themeColor="text1"/>
                <w:kern w:val="0"/>
                <w:sz w:val="24"/>
                <w:szCs w:val="24"/>
              </w:rPr>
              <w:t>×费率2.8%</w:t>
            </w:r>
          </w:p>
        </w:tc>
        <w:tc>
          <w:tcPr>
            <w:tcW w:w="2768" w:type="dxa"/>
            <w:vAlign w:val="center"/>
          </w:tcPr>
          <w:p w14:paraId="212121A2">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eastAsia="宋体" w:cs="Times New Roman"/>
                <w:color w:val="000000" w:themeColor="text1"/>
                <w:kern w:val="0"/>
                <w:sz w:val="24"/>
                <w:szCs w:val="24"/>
                <w:lang w:val="en-US" w:eastAsia="zh-CN"/>
              </w:rPr>
              <w:t xml:space="preserve">1.85 </w:t>
            </w:r>
          </w:p>
        </w:tc>
      </w:tr>
      <w:tr w14:paraId="6004E7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3390" w:type="dxa"/>
            <w:gridSpan w:val="2"/>
            <w:vAlign w:val="center"/>
          </w:tcPr>
          <w:p w14:paraId="1E048FD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总计</w:t>
            </w:r>
          </w:p>
        </w:tc>
        <w:tc>
          <w:tcPr>
            <w:tcW w:w="2942" w:type="dxa"/>
            <w:vAlign w:val="center"/>
          </w:tcPr>
          <w:p w14:paraId="76AF451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1+2+3+4</w:t>
            </w:r>
          </w:p>
        </w:tc>
        <w:tc>
          <w:tcPr>
            <w:tcW w:w="2768" w:type="dxa"/>
            <w:vAlign w:val="center"/>
          </w:tcPr>
          <w:p w14:paraId="46B91A1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eastAsia="宋体" w:cs="Times New Roman"/>
                <w:color w:val="000000" w:themeColor="text1"/>
                <w:kern w:val="0"/>
                <w:sz w:val="24"/>
                <w:szCs w:val="24"/>
                <w:lang w:val="en-US" w:eastAsia="zh-CN"/>
              </w:rPr>
              <w:t>7.85</w:t>
            </w:r>
          </w:p>
        </w:tc>
      </w:tr>
    </w:tbl>
    <w:p w14:paraId="11D5E376">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表6-9 预备费估算表</w:t>
      </w:r>
    </w:p>
    <w:tbl>
      <w:tblPr>
        <w:tblStyle w:val="42"/>
        <w:tblW w:w="500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086"/>
        <w:gridCol w:w="1895"/>
        <w:gridCol w:w="1635"/>
        <w:gridCol w:w="2883"/>
        <w:gridCol w:w="1614"/>
      </w:tblGrid>
      <w:tr w14:paraId="299954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84" w:type="dxa"/>
            <w:vAlign w:val="center"/>
          </w:tcPr>
          <w:p w14:paraId="65439958">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序号</w:t>
            </w:r>
          </w:p>
        </w:tc>
        <w:tc>
          <w:tcPr>
            <w:tcW w:w="1894" w:type="dxa"/>
            <w:vAlign w:val="center"/>
          </w:tcPr>
          <w:p w14:paraId="68FA849C">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费用名称</w:t>
            </w:r>
          </w:p>
        </w:tc>
        <w:tc>
          <w:tcPr>
            <w:tcW w:w="1634" w:type="dxa"/>
            <w:vAlign w:val="center"/>
          </w:tcPr>
          <w:p w14:paraId="7335057B">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费基（万元）</w:t>
            </w:r>
          </w:p>
        </w:tc>
        <w:tc>
          <w:tcPr>
            <w:tcW w:w="2881" w:type="dxa"/>
            <w:vAlign w:val="center"/>
          </w:tcPr>
          <w:p w14:paraId="049315FD">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费率（％）或计算公式</w:t>
            </w:r>
          </w:p>
        </w:tc>
        <w:tc>
          <w:tcPr>
            <w:tcW w:w="1613" w:type="dxa"/>
            <w:vAlign w:val="center"/>
          </w:tcPr>
          <w:p w14:paraId="469201B2">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金额（万元）</w:t>
            </w:r>
          </w:p>
        </w:tc>
      </w:tr>
      <w:tr w14:paraId="07DAC2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84" w:type="dxa"/>
            <w:vAlign w:val="center"/>
          </w:tcPr>
          <w:p w14:paraId="1609BB1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894" w:type="dxa"/>
            <w:vAlign w:val="center"/>
          </w:tcPr>
          <w:p w14:paraId="61DFB1E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基本预备费</w:t>
            </w:r>
          </w:p>
        </w:tc>
        <w:tc>
          <w:tcPr>
            <w:tcW w:w="1634" w:type="dxa"/>
            <w:vAlign w:val="center"/>
          </w:tcPr>
          <w:p w14:paraId="3EE23F2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60.10</w:t>
            </w:r>
            <w:r>
              <w:rPr>
                <w:rFonts w:ascii="Times New Roman" w:hAnsi="Times New Roman" w:cs="Times New Roman"/>
                <w:color w:val="000000" w:themeColor="text1"/>
                <w:kern w:val="0"/>
                <w:sz w:val="24"/>
                <w:szCs w:val="24"/>
              </w:rPr>
              <w:t>+</w:t>
            </w:r>
            <w:r>
              <w:rPr>
                <w:rFonts w:hint="eastAsia" w:ascii="Times New Roman" w:hAnsi="Times New Roman" w:cs="Times New Roman"/>
                <w:color w:val="000000" w:themeColor="text1"/>
                <w:kern w:val="0"/>
                <w:sz w:val="24"/>
                <w:szCs w:val="24"/>
                <w:lang w:val="en-US" w:eastAsia="zh-CN"/>
              </w:rPr>
              <w:t>7.85</w:t>
            </w:r>
          </w:p>
        </w:tc>
        <w:tc>
          <w:tcPr>
            <w:tcW w:w="2881" w:type="dxa"/>
            <w:vAlign w:val="center"/>
          </w:tcPr>
          <w:p w14:paraId="00D59D4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8%</w:t>
            </w:r>
          </w:p>
        </w:tc>
        <w:tc>
          <w:tcPr>
            <w:tcW w:w="1613" w:type="dxa"/>
            <w:vAlign w:val="center"/>
          </w:tcPr>
          <w:p w14:paraId="5138A3DE">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eastAsia="宋体" w:cs="Times New Roman"/>
                <w:color w:val="000000" w:themeColor="text1"/>
                <w:kern w:val="0"/>
                <w:sz w:val="24"/>
                <w:szCs w:val="24"/>
                <w:lang w:val="en-US" w:eastAsia="zh-CN"/>
              </w:rPr>
              <w:t xml:space="preserve">5.44 </w:t>
            </w:r>
          </w:p>
        </w:tc>
      </w:tr>
      <w:tr w14:paraId="370A43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84" w:type="dxa"/>
            <w:vAlign w:val="center"/>
          </w:tcPr>
          <w:p w14:paraId="4478CBF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894" w:type="dxa"/>
            <w:vAlign w:val="center"/>
          </w:tcPr>
          <w:p w14:paraId="47A7643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风险金</w:t>
            </w:r>
          </w:p>
        </w:tc>
        <w:tc>
          <w:tcPr>
            <w:tcW w:w="1634" w:type="dxa"/>
            <w:vAlign w:val="center"/>
          </w:tcPr>
          <w:p w14:paraId="7324D7B6">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60.10</w:t>
            </w:r>
            <w:r>
              <w:rPr>
                <w:rFonts w:ascii="Times New Roman" w:hAnsi="Times New Roman" w:cs="Times New Roman"/>
                <w:color w:val="000000" w:themeColor="text1"/>
                <w:kern w:val="0"/>
                <w:sz w:val="24"/>
                <w:szCs w:val="24"/>
              </w:rPr>
              <w:t>+</w:t>
            </w:r>
            <w:r>
              <w:rPr>
                <w:rFonts w:hint="eastAsia" w:ascii="Times New Roman" w:hAnsi="Times New Roman" w:cs="Times New Roman"/>
                <w:color w:val="000000" w:themeColor="text1"/>
                <w:kern w:val="0"/>
                <w:sz w:val="24"/>
                <w:szCs w:val="24"/>
                <w:lang w:val="en-US" w:eastAsia="zh-CN"/>
              </w:rPr>
              <w:t>7.85</w:t>
            </w:r>
          </w:p>
        </w:tc>
        <w:tc>
          <w:tcPr>
            <w:tcW w:w="2881" w:type="dxa"/>
            <w:vAlign w:val="center"/>
          </w:tcPr>
          <w:p w14:paraId="598F86C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613" w:type="dxa"/>
            <w:vAlign w:val="center"/>
          </w:tcPr>
          <w:p w14:paraId="3AAC7758">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eastAsia="宋体" w:cs="Times New Roman"/>
                <w:color w:val="000000" w:themeColor="text1"/>
                <w:kern w:val="0"/>
                <w:sz w:val="24"/>
                <w:szCs w:val="24"/>
                <w:lang w:val="en-US" w:eastAsia="zh-CN"/>
              </w:rPr>
              <w:t xml:space="preserve">3.40 </w:t>
            </w:r>
          </w:p>
        </w:tc>
      </w:tr>
      <w:tr w14:paraId="507C4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84" w:type="dxa"/>
            <w:vAlign w:val="center"/>
          </w:tcPr>
          <w:p w14:paraId="0155C17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1894" w:type="dxa"/>
            <w:vAlign w:val="center"/>
          </w:tcPr>
          <w:p w14:paraId="5427774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634" w:type="dxa"/>
            <w:shd w:val="clear" w:color="auto" w:fill="auto"/>
            <w:vAlign w:val="center"/>
          </w:tcPr>
          <w:p w14:paraId="599CDA8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2881" w:type="dxa"/>
            <w:vAlign w:val="center"/>
          </w:tcPr>
          <w:p w14:paraId="75F2FDE5">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613" w:type="dxa"/>
            <w:vAlign w:val="center"/>
          </w:tcPr>
          <w:p w14:paraId="08C84A36">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eastAsia="宋体" w:cs="Times New Roman"/>
                <w:color w:val="000000" w:themeColor="text1"/>
                <w:kern w:val="0"/>
                <w:sz w:val="24"/>
                <w:szCs w:val="24"/>
                <w:lang w:val="en-US" w:eastAsia="zh-CN"/>
              </w:rPr>
              <w:t>8.84</w:t>
            </w:r>
          </w:p>
        </w:tc>
      </w:tr>
    </w:tbl>
    <w:p w14:paraId="4B2276B9">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表6-10 监测与管护费估算表</w:t>
      </w:r>
    </w:p>
    <w:tbl>
      <w:tblPr>
        <w:tblStyle w:val="185"/>
        <w:tblW w:w="5012"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910"/>
        <w:gridCol w:w="2753"/>
        <w:gridCol w:w="1160"/>
        <w:gridCol w:w="1302"/>
        <w:gridCol w:w="1656"/>
        <w:gridCol w:w="1341"/>
      </w:tblGrid>
      <w:tr w14:paraId="0D51E17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blHeader/>
        </w:trPr>
        <w:tc>
          <w:tcPr>
            <w:tcW w:w="908" w:type="dxa"/>
          </w:tcPr>
          <w:p w14:paraId="1A7202C7">
            <w:pPr>
              <w:widowControl/>
              <w:topLinePunct/>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序号</w:t>
            </w:r>
          </w:p>
        </w:tc>
        <w:tc>
          <w:tcPr>
            <w:tcW w:w="2751" w:type="dxa"/>
          </w:tcPr>
          <w:p w14:paraId="50B120FB">
            <w:pPr>
              <w:widowControl/>
              <w:topLinePunct/>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工程或费用名称</w:t>
            </w:r>
          </w:p>
        </w:tc>
        <w:tc>
          <w:tcPr>
            <w:tcW w:w="1159" w:type="dxa"/>
          </w:tcPr>
          <w:p w14:paraId="1901C8B2">
            <w:pPr>
              <w:widowControl/>
              <w:topLinePunct/>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单位</w:t>
            </w:r>
          </w:p>
        </w:tc>
        <w:tc>
          <w:tcPr>
            <w:tcW w:w="1301" w:type="dxa"/>
          </w:tcPr>
          <w:p w14:paraId="5B4B9C99">
            <w:pPr>
              <w:widowControl/>
              <w:topLinePunct/>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工程量</w:t>
            </w:r>
          </w:p>
        </w:tc>
        <w:tc>
          <w:tcPr>
            <w:tcW w:w="1655" w:type="dxa"/>
          </w:tcPr>
          <w:p w14:paraId="460D11A1">
            <w:pPr>
              <w:widowControl/>
              <w:topLinePunct/>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综合单价（元）</w:t>
            </w:r>
          </w:p>
        </w:tc>
        <w:tc>
          <w:tcPr>
            <w:tcW w:w="1340" w:type="dxa"/>
          </w:tcPr>
          <w:p w14:paraId="0141FEA9">
            <w:pPr>
              <w:widowControl/>
              <w:topLinePunct/>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合计（元）</w:t>
            </w:r>
          </w:p>
        </w:tc>
      </w:tr>
      <w:tr w14:paraId="6541EF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331493C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w:t>
            </w:r>
          </w:p>
        </w:tc>
        <w:tc>
          <w:tcPr>
            <w:tcW w:w="2751" w:type="dxa"/>
            <w:vAlign w:val="center"/>
          </w:tcPr>
          <w:p w14:paraId="00BA9E6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矿山地质环境监测</w:t>
            </w:r>
          </w:p>
        </w:tc>
        <w:tc>
          <w:tcPr>
            <w:tcW w:w="1159" w:type="dxa"/>
            <w:vAlign w:val="center"/>
          </w:tcPr>
          <w:p w14:paraId="09693E36">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301" w:type="dxa"/>
            <w:vAlign w:val="center"/>
          </w:tcPr>
          <w:p w14:paraId="3961D202">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p>
        </w:tc>
        <w:tc>
          <w:tcPr>
            <w:tcW w:w="1655" w:type="dxa"/>
            <w:vAlign w:val="center"/>
          </w:tcPr>
          <w:p w14:paraId="6C99C114">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p>
        </w:tc>
        <w:tc>
          <w:tcPr>
            <w:tcW w:w="1340" w:type="dxa"/>
            <w:vAlign w:val="center"/>
          </w:tcPr>
          <w:p w14:paraId="774ED8F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eastAsia="宋体" w:cs="Times New Roman"/>
                <w:color w:val="000000" w:themeColor="text1"/>
                <w:kern w:val="0"/>
                <w:sz w:val="24"/>
                <w:szCs w:val="24"/>
                <w:lang w:val="en-US" w:eastAsia="en-US"/>
              </w:rPr>
              <w:t>166400</w:t>
            </w:r>
            <w:r>
              <w:rPr>
                <w:rFonts w:hint="eastAsia" w:ascii="Times New Roman" w:hAnsi="Times New Roman" w:eastAsia="宋体" w:cs="Times New Roman"/>
                <w:color w:val="000000" w:themeColor="text1"/>
                <w:kern w:val="0"/>
                <w:sz w:val="24"/>
                <w:szCs w:val="24"/>
                <w:lang w:val="en-US" w:eastAsia="zh-CN"/>
              </w:rPr>
              <w:t>.00</w:t>
            </w:r>
          </w:p>
        </w:tc>
      </w:tr>
      <w:tr w14:paraId="6C41230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01039D3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w:t>
            </w:r>
          </w:p>
        </w:tc>
        <w:tc>
          <w:tcPr>
            <w:tcW w:w="2751" w:type="dxa"/>
            <w:vAlign w:val="center"/>
          </w:tcPr>
          <w:p w14:paraId="08FC9B5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地质灾害监测</w:t>
            </w:r>
          </w:p>
        </w:tc>
        <w:tc>
          <w:tcPr>
            <w:tcW w:w="1159" w:type="dxa"/>
            <w:vAlign w:val="center"/>
          </w:tcPr>
          <w:p w14:paraId="18A0B8A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次</w:t>
            </w:r>
          </w:p>
        </w:tc>
        <w:tc>
          <w:tcPr>
            <w:tcW w:w="1301" w:type="dxa"/>
            <w:vAlign w:val="center"/>
          </w:tcPr>
          <w:p w14:paraId="05C8D871">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en-US"/>
              </w:rPr>
              <w:t>1248</w:t>
            </w:r>
          </w:p>
        </w:tc>
        <w:tc>
          <w:tcPr>
            <w:tcW w:w="1655" w:type="dxa"/>
            <w:vAlign w:val="center"/>
          </w:tcPr>
          <w:p w14:paraId="0B2874F1">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zh-CN"/>
              </w:rPr>
              <w:t>1</w:t>
            </w:r>
            <w:r>
              <w:rPr>
                <w:rFonts w:hint="eastAsia" w:ascii="Times New Roman" w:hAnsi="Times New Roman" w:eastAsia="宋体" w:cs="Times New Roman"/>
                <w:color w:val="000000" w:themeColor="text1"/>
                <w:kern w:val="0"/>
                <w:sz w:val="24"/>
                <w:szCs w:val="24"/>
                <w:lang w:val="en-US" w:eastAsia="en-US"/>
              </w:rPr>
              <w:t>00.00</w:t>
            </w:r>
          </w:p>
        </w:tc>
        <w:tc>
          <w:tcPr>
            <w:tcW w:w="1340" w:type="dxa"/>
            <w:vAlign w:val="center"/>
          </w:tcPr>
          <w:p w14:paraId="640A9A2E">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zh-CN"/>
              </w:rPr>
              <w:t xml:space="preserve">124800.00 </w:t>
            </w:r>
          </w:p>
        </w:tc>
      </w:tr>
      <w:tr w14:paraId="29EAF7C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67EDD792">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w:t>
            </w:r>
          </w:p>
        </w:tc>
        <w:tc>
          <w:tcPr>
            <w:tcW w:w="2751" w:type="dxa"/>
            <w:vAlign w:val="center"/>
          </w:tcPr>
          <w:p w14:paraId="6DD2C46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地表水监测</w:t>
            </w:r>
          </w:p>
        </w:tc>
        <w:tc>
          <w:tcPr>
            <w:tcW w:w="1159" w:type="dxa"/>
            <w:vAlign w:val="center"/>
          </w:tcPr>
          <w:p w14:paraId="5DFAACC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次</w:t>
            </w:r>
          </w:p>
        </w:tc>
        <w:tc>
          <w:tcPr>
            <w:tcW w:w="1301" w:type="dxa"/>
            <w:vAlign w:val="center"/>
          </w:tcPr>
          <w:p w14:paraId="16F5B9BD">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en-US"/>
              </w:rPr>
              <w:t>416</w:t>
            </w:r>
          </w:p>
        </w:tc>
        <w:tc>
          <w:tcPr>
            <w:tcW w:w="1655" w:type="dxa"/>
            <w:vAlign w:val="center"/>
          </w:tcPr>
          <w:p w14:paraId="4C1E127A">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zh-CN"/>
              </w:rPr>
              <w:t>1</w:t>
            </w:r>
            <w:r>
              <w:rPr>
                <w:rFonts w:hint="eastAsia" w:ascii="Times New Roman" w:hAnsi="Times New Roman" w:eastAsia="宋体" w:cs="Times New Roman"/>
                <w:color w:val="000000" w:themeColor="text1"/>
                <w:kern w:val="0"/>
                <w:sz w:val="24"/>
                <w:szCs w:val="24"/>
                <w:lang w:val="en-US" w:eastAsia="en-US"/>
              </w:rPr>
              <w:t>00.00</w:t>
            </w:r>
          </w:p>
        </w:tc>
        <w:tc>
          <w:tcPr>
            <w:tcW w:w="1340" w:type="dxa"/>
            <w:vAlign w:val="center"/>
          </w:tcPr>
          <w:p w14:paraId="00E6B1ED">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zh-CN"/>
              </w:rPr>
              <w:t xml:space="preserve">41600.00 </w:t>
            </w:r>
          </w:p>
        </w:tc>
      </w:tr>
      <w:tr w14:paraId="5F19A11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1005B7B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w:t>
            </w:r>
          </w:p>
        </w:tc>
        <w:tc>
          <w:tcPr>
            <w:tcW w:w="2751" w:type="dxa"/>
            <w:vAlign w:val="center"/>
          </w:tcPr>
          <w:p w14:paraId="00BA01E4">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土地资源监测</w:t>
            </w:r>
          </w:p>
        </w:tc>
        <w:tc>
          <w:tcPr>
            <w:tcW w:w="1159" w:type="dxa"/>
            <w:vAlign w:val="center"/>
          </w:tcPr>
          <w:p w14:paraId="62F2ADAA">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301" w:type="dxa"/>
            <w:vAlign w:val="center"/>
          </w:tcPr>
          <w:p w14:paraId="6BB2311C">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p>
        </w:tc>
        <w:tc>
          <w:tcPr>
            <w:tcW w:w="1655" w:type="dxa"/>
            <w:vAlign w:val="center"/>
          </w:tcPr>
          <w:p w14:paraId="03BD8579">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p>
        </w:tc>
        <w:tc>
          <w:tcPr>
            <w:tcW w:w="1340" w:type="dxa"/>
            <w:vAlign w:val="center"/>
          </w:tcPr>
          <w:p w14:paraId="117900B7">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zh-CN"/>
              </w:rPr>
              <w:t xml:space="preserve">10400.00 </w:t>
            </w:r>
          </w:p>
        </w:tc>
      </w:tr>
      <w:tr w14:paraId="6B53D07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3AE84CEC">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w:t>
            </w:r>
          </w:p>
        </w:tc>
        <w:tc>
          <w:tcPr>
            <w:tcW w:w="2751" w:type="dxa"/>
            <w:vAlign w:val="center"/>
          </w:tcPr>
          <w:p w14:paraId="7061046D">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地形地貌景观监测</w:t>
            </w:r>
          </w:p>
        </w:tc>
        <w:tc>
          <w:tcPr>
            <w:tcW w:w="1159" w:type="dxa"/>
            <w:vAlign w:val="center"/>
          </w:tcPr>
          <w:p w14:paraId="1D75948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次</w:t>
            </w:r>
          </w:p>
        </w:tc>
        <w:tc>
          <w:tcPr>
            <w:tcW w:w="1301" w:type="dxa"/>
            <w:vAlign w:val="center"/>
          </w:tcPr>
          <w:p w14:paraId="46289AA3">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en-US"/>
              </w:rPr>
              <w:t>104</w:t>
            </w:r>
          </w:p>
        </w:tc>
        <w:tc>
          <w:tcPr>
            <w:tcW w:w="1655" w:type="dxa"/>
            <w:shd w:val="clear" w:color="auto" w:fill="auto"/>
            <w:vAlign w:val="center"/>
          </w:tcPr>
          <w:p w14:paraId="25BB191F">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zh-CN"/>
              </w:rPr>
              <w:t>1</w:t>
            </w:r>
            <w:r>
              <w:rPr>
                <w:rFonts w:hint="eastAsia" w:ascii="Times New Roman" w:hAnsi="Times New Roman" w:eastAsia="宋体" w:cs="Times New Roman"/>
                <w:color w:val="000000" w:themeColor="text1"/>
                <w:kern w:val="0"/>
                <w:sz w:val="24"/>
                <w:szCs w:val="24"/>
                <w:lang w:val="en-US" w:eastAsia="en-US"/>
              </w:rPr>
              <w:t>00.00</w:t>
            </w:r>
          </w:p>
        </w:tc>
        <w:tc>
          <w:tcPr>
            <w:tcW w:w="1340" w:type="dxa"/>
            <w:vAlign w:val="center"/>
          </w:tcPr>
          <w:p w14:paraId="1F4DAA58">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zh-CN"/>
              </w:rPr>
              <w:t xml:space="preserve">10400.00 </w:t>
            </w:r>
          </w:p>
        </w:tc>
      </w:tr>
      <w:tr w14:paraId="594FEDA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78BBC74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3</w:t>
            </w:r>
          </w:p>
        </w:tc>
        <w:tc>
          <w:tcPr>
            <w:tcW w:w="2751" w:type="dxa"/>
            <w:vAlign w:val="center"/>
          </w:tcPr>
          <w:p w14:paraId="6D9449B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生态系统监测</w:t>
            </w:r>
          </w:p>
        </w:tc>
        <w:tc>
          <w:tcPr>
            <w:tcW w:w="1159" w:type="dxa"/>
            <w:vAlign w:val="center"/>
          </w:tcPr>
          <w:p w14:paraId="1ED74B41">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301" w:type="dxa"/>
            <w:vAlign w:val="center"/>
          </w:tcPr>
          <w:p w14:paraId="4917EC43">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p>
        </w:tc>
        <w:tc>
          <w:tcPr>
            <w:tcW w:w="1655" w:type="dxa"/>
            <w:vAlign w:val="center"/>
          </w:tcPr>
          <w:p w14:paraId="5532ADB1">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p>
        </w:tc>
        <w:tc>
          <w:tcPr>
            <w:tcW w:w="1340" w:type="dxa"/>
            <w:vAlign w:val="center"/>
          </w:tcPr>
          <w:p w14:paraId="4B99FBCC">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eastAsia="宋体" w:cs="Times New Roman"/>
                <w:color w:val="000000" w:themeColor="text1"/>
                <w:kern w:val="0"/>
                <w:sz w:val="24"/>
                <w:szCs w:val="24"/>
                <w:lang w:val="en-US" w:eastAsia="en-US"/>
              </w:rPr>
              <w:t>18000</w:t>
            </w:r>
            <w:r>
              <w:rPr>
                <w:rFonts w:hint="eastAsia" w:ascii="Times New Roman" w:hAnsi="Times New Roman" w:eastAsia="宋体" w:cs="Times New Roman"/>
                <w:color w:val="000000" w:themeColor="text1"/>
                <w:kern w:val="0"/>
                <w:sz w:val="24"/>
                <w:szCs w:val="24"/>
                <w:lang w:val="en-US" w:eastAsia="zh-CN"/>
              </w:rPr>
              <w:t>.00</w:t>
            </w:r>
          </w:p>
        </w:tc>
      </w:tr>
      <w:tr w14:paraId="3032AB3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3EC3E70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w:t>
            </w:r>
          </w:p>
        </w:tc>
        <w:tc>
          <w:tcPr>
            <w:tcW w:w="2751" w:type="dxa"/>
            <w:vAlign w:val="center"/>
          </w:tcPr>
          <w:p w14:paraId="1EA1AC1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土壤质量监测</w:t>
            </w:r>
          </w:p>
        </w:tc>
        <w:tc>
          <w:tcPr>
            <w:tcW w:w="1159" w:type="dxa"/>
            <w:vAlign w:val="center"/>
          </w:tcPr>
          <w:p w14:paraId="6335A66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次</w:t>
            </w:r>
          </w:p>
        </w:tc>
        <w:tc>
          <w:tcPr>
            <w:tcW w:w="1301" w:type="dxa"/>
            <w:vAlign w:val="center"/>
          </w:tcPr>
          <w:p w14:paraId="46200F43">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en-US"/>
              </w:rPr>
              <w:t>12</w:t>
            </w:r>
          </w:p>
        </w:tc>
        <w:tc>
          <w:tcPr>
            <w:tcW w:w="1655" w:type="dxa"/>
            <w:vAlign w:val="center"/>
          </w:tcPr>
          <w:p w14:paraId="732829A1">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en-US"/>
              </w:rPr>
              <w:t>1</w:t>
            </w:r>
            <w:r>
              <w:rPr>
                <w:rFonts w:hint="eastAsia" w:ascii="Times New Roman" w:hAnsi="Times New Roman" w:eastAsia="宋体" w:cs="Times New Roman"/>
                <w:color w:val="000000" w:themeColor="text1"/>
                <w:kern w:val="0"/>
                <w:sz w:val="24"/>
                <w:szCs w:val="24"/>
                <w:lang w:val="en-US" w:eastAsia="zh-CN"/>
              </w:rPr>
              <w:t>0</w:t>
            </w:r>
            <w:r>
              <w:rPr>
                <w:rFonts w:hint="eastAsia" w:ascii="Times New Roman" w:hAnsi="Times New Roman" w:eastAsia="宋体" w:cs="Times New Roman"/>
                <w:color w:val="000000" w:themeColor="text1"/>
                <w:kern w:val="0"/>
                <w:sz w:val="24"/>
                <w:szCs w:val="24"/>
                <w:lang w:val="en-US" w:eastAsia="en-US"/>
              </w:rPr>
              <w:t>00.00</w:t>
            </w:r>
          </w:p>
        </w:tc>
        <w:tc>
          <w:tcPr>
            <w:tcW w:w="1340" w:type="dxa"/>
            <w:vAlign w:val="center"/>
          </w:tcPr>
          <w:p w14:paraId="46120F54">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zh-CN"/>
              </w:rPr>
              <w:t xml:space="preserve">12000.00 </w:t>
            </w:r>
          </w:p>
        </w:tc>
      </w:tr>
      <w:tr w14:paraId="4ACC6D5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215DAC6B">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w:t>
            </w:r>
          </w:p>
        </w:tc>
        <w:tc>
          <w:tcPr>
            <w:tcW w:w="2751" w:type="dxa"/>
            <w:vAlign w:val="center"/>
          </w:tcPr>
          <w:p w14:paraId="7B7943C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复垦效果监测</w:t>
            </w:r>
          </w:p>
        </w:tc>
        <w:tc>
          <w:tcPr>
            <w:tcW w:w="1159" w:type="dxa"/>
            <w:vAlign w:val="center"/>
          </w:tcPr>
          <w:p w14:paraId="0623ACA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次</w:t>
            </w:r>
          </w:p>
        </w:tc>
        <w:tc>
          <w:tcPr>
            <w:tcW w:w="1301" w:type="dxa"/>
            <w:vAlign w:val="center"/>
          </w:tcPr>
          <w:p w14:paraId="25164F26">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en-US"/>
              </w:rPr>
              <w:t>12</w:t>
            </w:r>
          </w:p>
        </w:tc>
        <w:tc>
          <w:tcPr>
            <w:tcW w:w="1655" w:type="dxa"/>
            <w:shd w:val="clear" w:color="auto" w:fill="auto"/>
            <w:vAlign w:val="center"/>
          </w:tcPr>
          <w:p w14:paraId="5CC0E73D">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zh-CN"/>
              </w:rPr>
              <w:t>5</w:t>
            </w:r>
            <w:r>
              <w:rPr>
                <w:rFonts w:hint="eastAsia" w:ascii="Times New Roman" w:hAnsi="Times New Roman" w:eastAsia="宋体" w:cs="Times New Roman"/>
                <w:color w:val="000000" w:themeColor="text1"/>
                <w:kern w:val="0"/>
                <w:sz w:val="24"/>
                <w:szCs w:val="24"/>
                <w:lang w:val="en-US" w:eastAsia="en-US"/>
              </w:rPr>
              <w:t>00.00</w:t>
            </w:r>
          </w:p>
        </w:tc>
        <w:tc>
          <w:tcPr>
            <w:tcW w:w="1340" w:type="dxa"/>
            <w:vAlign w:val="center"/>
          </w:tcPr>
          <w:p w14:paraId="23CC22F2">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zh-CN"/>
              </w:rPr>
              <w:t xml:space="preserve">6000.00 </w:t>
            </w:r>
          </w:p>
        </w:tc>
      </w:tr>
      <w:tr w14:paraId="2DB01AB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0203A480">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4</w:t>
            </w:r>
          </w:p>
        </w:tc>
        <w:tc>
          <w:tcPr>
            <w:tcW w:w="2751" w:type="dxa"/>
            <w:vAlign w:val="center"/>
          </w:tcPr>
          <w:p w14:paraId="6565CD6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管护</w:t>
            </w:r>
          </w:p>
        </w:tc>
        <w:tc>
          <w:tcPr>
            <w:tcW w:w="1159" w:type="dxa"/>
            <w:vAlign w:val="center"/>
          </w:tcPr>
          <w:p w14:paraId="32282A3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301" w:type="dxa"/>
            <w:vAlign w:val="center"/>
          </w:tcPr>
          <w:p w14:paraId="301B8521">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p>
        </w:tc>
        <w:tc>
          <w:tcPr>
            <w:tcW w:w="1655" w:type="dxa"/>
            <w:vAlign w:val="center"/>
          </w:tcPr>
          <w:p w14:paraId="171033D9">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p>
        </w:tc>
        <w:tc>
          <w:tcPr>
            <w:tcW w:w="1340" w:type="dxa"/>
            <w:shd w:val="clear" w:color="auto" w:fill="auto"/>
            <w:vAlign w:val="center"/>
          </w:tcPr>
          <w:p w14:paraId="62EB08F3">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zh-CN"/>
              </w:rPr>
              <w:t xml:space="preserve">75240.00 </w:t>
            </w:r>
          </w:p>
        </w:tc>
      </w:tr>
      <w:tr w14:paraId="468139F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636E2B4F">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（1）</w:t>
            </w:r>
          </w:p>
        </w:tc>
        <w:tc>
          <w:tcPr>
            <w:tcW w:w="2751" w:type="dxa"/>
            <w:vAlign w:val="center"/>
          </w:tcPr>
          <w:p w14:paraId="21B52FA5">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管护</w:t>
            </w:r>
          </w:p>
        </w:tc>
        <w:tc>
          <w:tcPr>
            <w:tcW w:w="1159" w:type="dxa"/>
            <w:vAlign w:val="center"/>
          </w:tcPr>
          <w:p w14:paraId="1363DD21">
            <w:pPr>
              <w:widowControl/>
              <w:topLinePunct/>
              <w:snapToGrid w:val="0"/>
              <w:spacing w:line="240" w:lineRule="auto"/>
              <w:jc w:val="center"/>
              <w:rPr>
                <w:rFonts w:hint="eastAsia"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en-US"/>
              </w:rPr>
              <w:t>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p>
        </w:tc>
        <w:tc>
          <w:tcPr>
            <w:tcW w:w="1301" w:type="dxa"/>
            <w:vAlign w:val="center"/>
          </w:tcPr>
          <w:p w14:paraId="7C693685">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en-US"/>
              </w:rPr>
              <w:t>3*12.54</w:t>
            </w:r>
          </w:p>
        </w:tc>
        <w:tc>
          <w:tcPr>
            <w:tcW w:w="1655" w:type="dxa"/>
            <w:vAlign w:val="center"/>
          </w:tcPr>
          <w:p w14:paraId="76D550EB">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cs="Times New Roman"/>
                <w:color w:val="000000" w:themeColor="text1"/>
                <w:kern w:val="0"/>
                <w:sz w:val="24"/>
                <w:szCs w:val="24"/>
                <w:lang w:val="en-US" w:eastAsia="zh-CN"/>
              </w:rPr>
              <w:t>2</w:t>
            </w:r>
            <w:r>
              <w:rPr>
                <w:rFonts w:hint="eastAsia" w:ascii="Times New Roman" w:hAnsi="Times New Roman" w:eastAsia="宋体" w:cs="Times New Roman"/>
                <w:color w:val="000000" w:themeColor="text1"/>
                <w:kern w:val="0"/>
                <w:sz w:val="24"/>
                <w:szCs w:val="24"/>
                <w:lang w:val="en-US" w:eastAsia="en-US"/>
              </w:rPr>
              <w:t>000.00</w:t>
            </w:r>
          </w:p>
        </w:tc>
        <w:tc>
          <w:tcPr>
            <w:tcW w:w="1340" w:type="dxa"/>
            <w:vAlign w:val="center"/>
          </w:tcPr>
          <w:p w14:paraId="351369E8">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r>
              <w:rPr>
                <w:rFonts w:hint="eastAsia" w:ascii="Times New Roman" w:hAnsi="Times New Roman" w:eastAsia="宋体" w:cs="Times New Roman"/>
                <w:color w:val="000000" w:themeColor="text1"/>
                <w:kern w:val="0"/>
                <w:sz w:val="24"/>
                <w:szCs w:val="24"/>
                <w:lang w:val="en-US" w:eastAsia="zh-CN"/>
              </w:rPr>
              <w:t xml:space="preserve">75240.00 </w:t>
            </w:r>
          </w:p>
        </w:tc>
      </w:tr>
      <w:tr w14:paraId="2F7AB08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tcPr>
          <w:p w14:paraId="1AE21138">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合计</w:t>
            </w:r>
          </w:p>
        </w:tc>
        <w:tc>
          <w:tcPr>
            <w:tcW w:w="2751" w:type="dxa"/>
          </w:tcPr>
          <w:p w14:paraId="278507D9">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159" w:type="dxa"/>
          </w:tcPr>
          <w:p w14:paraId="56ACE3D7">
            <w:pPr>
              <w:widowControl/>
              <w:topLinePunct/>
              <w:snapToGrid w:val="0"/>
              <w:spacing w:line="240" w:lineRule="auto"/>
              <w:jc w:val="center"/>
              <w:rPr>
                <w:rFonts w:ascii="Times New Roman" w:hAnsi="Times New Roman" w:cs="Times New Roman" w:eastAsiaTheme="minorEastAsia"/>
                <w:color w:val="000000" w:themeColor="text1"/>
                <w:kern w:val="0"/>
                <w:sz w:val="24"/>
                <w:szCs w:val="24"/>
                <w:lang w:eastAsia="en-US"/>
              </w:rPr>
            </w:pPr>
          </w:p>
        </w:tc>
        <w:tc>
          <w:tcPr>
            <w:tcW w:w="1301" w:type="dxa"/>
          </w:tcPr>
          <w:p w14:paraId="360E9D18">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p>
        </w:tc>
        <w:tc>
          <w:tcPr>
            <w:tcW w:w="1655" w:type="dxa"/>
          </w:tcPr>
          <w:p w14:paraId="12B9CF04">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val="en-US" w:eastAsia="en-US"/>
              </w:rPr>
            </w:pPr>
          </w:p>
        </w:tc>
        <w:tc>
          <w:tcPr>
            <w:tcW w:w="1340" w:type="dxa"/>
            <w:vAlign w:val="center"/>
          </w:tcPr>
          <w:p w14:paraId="34801A55">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eastAsia="宋体" w:cs="Times New Roman"/>
                <w:color w:val="000000" w:themeColor="text1"/>
                <w:kern w:val="0"/>
                <w:sz w:val="24"/>
                <w:szCs w:val="24"/>
                <w:lang w:val="en-US" w:eastAsia="zh-CN"/>
              </w:rPr>
              <w:t>270040.00</w:t>
            </w:r>
          </w:p>
        </w:tc>
      </w:tr>
    </w:tbl>
    <w:p w14:paraId="37A26191">
      <w:pPr>
        <w:tabs>
          <w:tab w:val="left" w:pos="3403"/>
        </w:tabs>
        <w:spacing w:before="28"/>
        <w:ind w:left="2" w:right="44"/>
        <w:jc w:val="center"/>
        <w:rPr>
          <w:rFonts w:ascii="Times New Roman" w:hAnsi="Times New Roman" w:cs="Times New Roman"/>
          <w:b/>
          <w:color w:val="000000" w:themeColor="text1"/>
          <w:sz w:val="24"/>
          <w:szCs w:val="24"/>
        </w:rPr>
      </w:pPr>
    </w:p>
    <w:p w14:paraId="4FDEEEBA">
      <w:pPr>
        <w:tabs>
          <w:tab w:val="left" w:pos="3403"/>
        </w:tabs>
        <w:spacing w:before="28"/>
        <w:ind w:left="2" w:right="44"/>
        <w:jc w:val="center"/>
        <w:rPr>
          <w:rFonts w:ascii="Times New Roman" w:hAnsi="Times New Roman" w:cs="Times New Roman"/>
          <w:b/>
          <w:color w:val="000000" w:themeColor="text1"/>
          <w:sz w:val="24"/>
          <w:szCs w:val="24"/>
        </w:rPr>
      </w:pPr>
    </w:p>
    <w:p w14:paraId="29EB7439">
      <w:pPr>
        <w:tabs>
          <w:tab w:val="left" w:pos="3403"/>
        </w:tabs>
        <w:spacing w:before="28"/>
        <w:ind w:left="2" w:right="44"/>
        <w:jc w:val="center"/>
        <w:rPr>
          <w:rFonts w:ascii="Times New Roman" w:hAnsi="Times New Roman" w:cs="Times New Roman"/>
          <w:b/>
          <w:color w:val="000000" w:themeColor="text1"/>
          <w:sz w:val="24"/>
          <w:szCs w:val="24"/>
        </w:rPr>
      </w:pPr>
    </w:p>
    <w:p w14:paraId="20A1A083">
      <w:pPr>
        <w:tabs>
          <w:tab w:val="left" w:pos="3403"/>
        </w:tabs>
        <w:spacing w:before="28"/>
        <w:ind w:left="2" w:right="44"/>
        <w:jc w:val="center"/>
        <w:rPr>
          <w:rFonts w:ascii="Times New Roman" w:hAnsi="Times New Roman" w:cs="Times New Roman"/>
          <w:b/>
          <w:color w:val="000000" w:themeColor="text1"/>
          <w:sz w:val="24"/>
          <w:szCs w:val="24"/>
        </w:rPr>
      </w:pPr>
    </w:p>
    <w:p w14:paraId="1C5D6B82">
      <w:pPr>
        <w:tabs>
          <w:tab w:val="left" w:pos="3403"/>
        </w:tabs>
        <w:spacing w:before="28"/>
        <w:ind w:left="2" w:right="44"/>
        <w:jc w:val="center"/>
        <w:rPr>
          <w:rFonts w:ascii="Times New Roman" w:hAnsi="Times New Roman" w:cs="Times New Roman"/>
          <w:b/>
          <w:color w:val="000000" w:themeColor="text1"/>
          <w:sz w:val="24"/>
          <w:szCs w:val="24"/>
        </w:rPr>
      </w:pPr>
    </w:p>
    <w:p w14:paraId="55F05B59">
      <w:pPr>
        <w:tabs>
          <w:tab w:val="left" w:pos="3403"/>
        </w:tabs>
        <w:spacing w:before="28"/>
        <w:ind w:left="2" w:right="44"/>
        <w:jc w:val="center"/>
        <w:rPr>
          <w:rFonts w:ascii="Times New Roman" w:hAnsi="Times New Roman" w:cs="Times New Roman"/>
          <w:b/>
          <w:color w:val="000000" w:themeColor="text1"/>
          <w:sz w:val="24"/>
          <w:szCs w:val="24"/>
        </w:rPr>
      </w:pPr>
    </w:p>
    <w:p w14:paraId="60920B3B">
      <w:pPr>
        <w:tabs>
          <w:tab w:val="left" w:pos="3403"/>
        </w:tabs>
        <w:spacing w:before="28"/>
        <w:ind w:left="2" w:right="44"/>
        <w:jc w:val="center"/>
        <w:rPr>
          <w:rFonts w:ascii="Times New Roman" w:hAnsi="Times New Roman" w:cs="Times New Roman"/>
          <w:b/>
          <w:color w:val="000000" w:themeColor="text1"/>
          <w:sz w:val="24"/>
          <w:szCs w:val="24"/>
        </w:rPr>
      </w:pPr>
    </w:p>
    <w:p w14:paraId="2CC59D04">
      <w:pPr>
        <w:tabs>
          <w:tab w:val="left" w:pos="3403"/>
        </w:tabs>
        <w:spacing w:before="28"/>
        <w:ind w:left="2" w:right="44"/>
        <w:jc w:val="center"/>
        <w:rPr>
          <w:rFonts w:ascii="Times New Roman" w:hAnsi="Times New Roman" w:cs="Times New Roman"/>
          <w:b/>
          <w:color w:val="000000" w:themeColor="text1"/>
          <w:sz w:val="24"/>
          <w:szCs w:val="24"/>
        </w:rPr>
      </w:pPr>
    </w:p>
    <w:p w14:paraId="6FDCE3AF">
      <w:pPr>
        <w:tabs>
          <w:tab w:val="left" w:pos="3403"/>
        </w:tabs>
        <w:spacing w:before="28"/>
        <w:ind w:left="2" w:right="44"/>
        <w:jc w:val="center"/>
        <w:rPr>
          <w:rFonts w:ascii="Times New Roman" w:hAnsi="Times New Roman" w:cs="Times New Roman"/>
          <w:b/>
          <w:color w:val="000000" w:themeColor="text1"/>
          <w:sz w:val="24"/>
          <w:szCs w:val="24"/>
        </w:rPr>
      </w:pPr>
    </w:p>
    <w:p w14:paraId="62A14DE5">
      <w:pPr>
        <w:tabs>
          <w:tab w:val="left" w:pos="3403"/>
        </w:tabs>
        <w:spacing w:before="28"/>
        <w:ind w:left="2" w:right="44"/>
        <w:jc w:val="center"/>
        <w:rPr>
          <w:rFonts w:ascii="Times New Roman" w:hAnsi="Times New Roman" w:cs="Times New Roman"/>
          <w:b/>
          <w:color w:val="000000" w:themeColor="text1"/>
          <w:sz w:val="24"/>
          <w:szCs w:val="24"/>
        </w:rPr>
      </w:pPr>
    </w:p>
    <w:p w14:paraId="600E9BAE">
      <w:pPr>
        <w:tabs>
          <w:tab w:val="left" w:pos="3403"/>
        </w:tabs>
        <w:spacing w:before="28"/>
        <w:ind w:left="2" w:right="44"/>
        <w:jc w:val="center"/>
        <w:rPr>
          <w:rFonts w:ascii="Times New Roman" w:hAnsi="Times New Roman" w:cs="Times New Roman"/>
          <w:b/>
          <w:color w:val="000000" w:themeColor="text1"/>
          <w:kern w:val="0"/>
        </w:rPr>
      </w:pPr>
      <w:r>
        <w:rPr>
          <w:rFonts w:ascii="Times New Roman" w:hAnsi="Times New Roman" w:cs="Times New Roman"/>
          <w:b/>
          <w:color w:val="000000" w:themeColor="text1"/>
          <w:sz w:val="24"/>
          <w:szCs w:val="24"/>
        </w:rPr>
        <w:t>表6-11</w:t>
      </w:r>
      <w:r>
        <w:rPr>
          <w:rFonts w:hint="eastAsia" w:ascii="Times New Roman" w:hAnsi="Times New Roman" w:cs="Times New Roman"/>
          <w:b/>
          <w:color w:val="000000" w:themeColor="text1"/>
          <w:sz w:val="24"/>
          <w:szCs w:val="24"/>
          <w:lang w:val="en-US" w:eastAsia="zh-CN"/>
        </w:rPr>
        <w:t xml:space="preserve"> </w:t>
      </w:r>
      <w:r>
        <w:rPr>
          <w:rFonts w:ascii="Times New Roman" w:hAnsi="Times New Roman" w:cs="Times New Roman"/>
          <w:b/>
          <w:color w:val="000000" w:themeColor="text1"/>
          <w:sz w:val="24"/>
          <w:szCs w:val="24"/>
        </w:rPr>
        <w:t>1</w:t>
      </w:r>
      <w:r>
        <w:rPr>
          <w:rFonts w:hint="eastAsia" w:ascii="Times New Roman" w:hAnsi="Times New Roman" w:cs="Times New Roman"/>
          <w:b/>
          <w:color w:val="000000" w:themeColor="text1"/>
          <w:sz w:val="24"/>
          <w:szCs w:val="24"/>
          <w:lang w:eastAsia="zh-CN"/>
        </w:rPr>
        <w:t>m</w:t>
      </w:r>
      <w:r>
        <w:rPr>
          <w:rFonts w:hint="eastAsia" w:ascii="Times New Roman" w:hAnsi="Times New Roman" w:cs="Times New Roman"/>
          <w:b/>
          <w:strike w:val="0"/>
          <w:dstrike w:val="0"/>
          <w:color w:val="000000" w:themeColor="text1"/>
          <w:sz w:val="24"/>
          <w:szCs w:val="24"/>
          <w:vertAlign w:val="superscript"/>
          <w:lang w:eastAsia="zh-CN"/>
        </w:rPr>
        <w:t>3</w:t>
      </w:r>
      <w:r>
        <w:rPr>
          <w:rFonts w:ascii="Times New Roman" w:hAnsi="Times New Roman" w:cs="Times New Roman"/>
          <w:b/>
          <w:color w:val="000000" w:themeColor="text1"/>
          <w:sz w:val="24"/>
          <w:szCs w:val="24"/>
        </w:rPr>
        <w:t>挖掘机挖装自卸汽车运土</w:t>
      </w:r>
    </w:p>
    <w:p w14:paraId="1177D6EB">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定额编号：1-299                                             定额单位：100</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p w14:paraId="2D9E56C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工作内容：挖装、运输、卸载、空回。运距：0.5~1km。               金额单位：元</w:t>
      </w:r>
    </w:p>
    <w:tbl>
      <w:tblPr>
        <w:tblStyle w:val="42"/>
        <w:tblW w:w="5000" w:type="pct"/>
        <w:jc w:val="center"/>
        <w:tblLayout w:type="autofit"/>
        <w:tblCellMar>
          <w:top w:w="11" w:type="dxa"/>
          <w:left w:w="11" w:type="dxa"/>
          <w:bottom w:w="11" w:type="dxa"/>
          <w:right w:w="11" w:type="dxa"/>
        </w:tblCellMar>
      </w:tblPr>
      <w:tblGrid>
        <w:gridCol w:w="1200"/>
        <w:gridCol w:w="2530"/>
        <w:gridCol w:w="1272"/>
        <w:gridCol w:w="1164"/>
        <w:gridCol w:w="1170"/>
        <w:gridCol w:w="1764"/>
      </w:tblGrid>
      <w:tr w14:paraId="3E7E54AD">
        <w:tblPrEx>
          <w:tblCellMar>
            <w:top w:w="11" w:type="dxa"/>
            <w:left w:w="11" w:type="dxa"/>
            <w:bottom w:w="11" w:type="dxa"/>
            <w:right w:w="11" w:type="dxa"/>
          </w:tblCellMar>
        </w:tblPrEx>
        <w:trPr>
          <w:trHeight w:val="20" w:hRule="atLeast"/>
          <w:jc w:val="center"/>
        </w:trPr>
        <w:tc>
          <w:tcPr>
            <w:tcW w:w="1200" w:type="dxa"/>
            <w:tcBorders>
              <w:top w:val="single" w:color="000000" w:sz="12" w:space="0"/>
              <w:left w:val="single" w:color="000000" w:sz="12" w:space="0"/>
              <w:bottom w:val="single" w:color="000000" w:sz="8" w:space="0"/>
              <w:right w:val="single" w:color="000000" w:sz="8" w:space="0"/>
            </w:tcBorders>
            <w:shd w:val="clear" w:color="auto" w:fill="FFFFFF"/>
            <w:vAlign w:val="center"/>
          </w:tcPr>
          <w:p w14:paraId="343FFB7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序号</w:t>
            </w:r>
          </w:p>
        </w:tc>
        <w:tc>
          <w:tcPr>
            <w:tcW w:w="2530" w:type="dxa"/>
            <w:tcBorders>
              <w:top w:val="single" w:color="000000" w:sz="12" w:space="0"/>
              <w:left w:val="nil"/>
              <w:bottom w:val="single" w:color="000000" w:sz="8" w:space="0"/>
              <w:right w:val="single" w:color="000000" w:sz="8" w:space="0"/>
            </w:tcBorders>
            <w:shd w:val="clear" w:color="auto" w:fill="FFFFFF"/>
            <w:vAlign w:val="center"/>
          </w:tcPr>
          <w:p w14:paraId="5993902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项目名称</w:t>
            </w:r>
          </w:p>
        </w:tc>
        <w:tc>
          <w:tcPr>
            <w:tcW w:w="1272" w:type="dxa"/>
            <w:tcBorders>
              <w:top w:val="single" w:color="000000" w:sz="12" w:space="0"/>
              <w:left w:val="nil"/>
              <w:bottom w:val="single" w:color="000000" w:sz="8" w:space="0"/>
              <w:right w:val="single" w:color="000000" w:sz="8" w:space="0"/>
            </w:tcBorders>
            <w:shd w:val="clear" w:color="auto" w:fill="FFFFFF"/>
            <w:vAlign w:val="center"/>
          </w:tcPr>
          <w:p w14:paraId="71FD7FE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单   位</w:t>
            </w:r>
          </w:p>
        </w:tc>
        <w:tc>
          <w:tcPr>
            <w:tcW w:w="1164" w:type="dxa"/>
            <w:tcBorders>
              <w:top w:val="single" w:color="000000" w:sz="12" w:space="0"/>
              <w:left w:val="nil"/>
              <w:bottom w:val="single" w:color="000000" w:sz="8" w:space="0"/>
              <w:right w:val="single" w:color="000000" w:sz="8" w:space="0"/>
            </w:tcBorders>
            <w:shd w:val="clear" w:color="auto" w:fill="FFFFFF"/>
            <w:vAlign w:val="center"/>
          </w:tcPr>
          <w:p w14:paraId="725F8C0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数   量</w:t>
            </w:r>
          </w:p>
        </w:tc>
        <w:tc>
          <w:tcPr>
            <w:tcW w:w="1170" w:type="dxa"/>
            <w:tcBorders>
              <w:top w:val="single" w:color="000000" w:sz="12" w:space="0"/>
              <w:left w:val="nil"/>
              <w:bottom w:val="single" w:color="000000" w:sz="8" w:space="0"/>
              <w:right w:val="single" w:color="000000" w:sz="8" w:space="0"/>
            </w:tcBorders>
            <w:shd w:val="clear" w:color="auto" w:fill="FFFFFF"/>
            <w:vAlign w:val="center"/>
          </w:tcPr>
          <w:p w14:paraId="33A4600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单   价</w:t>
            </w:r>
          </w:p>
        </w:tc>
        <w:tc>
          <w:tcPr>
            <w:tcW w:w="1764" w:type="dxa"/>
            <w:tcBorders>
              <w:top w:val="single" w:color="000000" w:sz="12" w:space="0"/>
              <w:left w:val="nil"/>
              <w:bottom w:val="single" w:color="000000" w:sz="8" w:space="0"/>
              <w:right w:val="single" w:color="000000" w:sz="12" w:space="0"/>
            </w:tcBorders>
            <w:shd w:val="clear" w:color="auto" w:fill="FFFFFF"/>
            <w:vAlign w:val="center"/>
          </w:tcPr>
          <w:p w14:paraId="30BA319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    计</w:t>
            </w:r>
          </w:p>
        </w:tc>
      </w:tr>
      <w:tr w14:paraId="769BCCC3">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2CF3DA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5F82A69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直接费</w:t>
            </w:r>
          </w:p>
        </w:tc>
        <w:tc>
          <w:tcPr>
            <w:tcW w:w="1272" w:type="dxa"/>
            <w:tcBorders>
              <w:top w:val="nil"/>
              <w:left w:val="nil"/>
              <w:bottom w:val="single" w:color="000000" w:sz="8" w:space="0"/>
              <w:right w:val="single" w:color="000000" w:sz="8" w:space="0"/>
            </w:tcBorders>
            <w:shd w:val="clear" w:color="auto" w:fill="FFFFFF"/>
            <w:vAlign w:val="center"/>
          </w:tcPr>
          <w:p w14:paraId="36E9013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28619FB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06139C4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3C8F34D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932.83 </w:t>
            </w:r>
          </w:p>
        </w:tc>
      </w:tr>
      <w:tr w14:paraId="1AC6DB8A">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46E7A7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1F9313D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直接工程费</w:t>
            </w:r>
          </w:p>
        </w:tc>
        <w:tc>
          <w:tcPr>
            <w:tcW w:w="1272" w:type="dxa"/>
            <w:tcBorders>
              <w:top w:val="nil"/>
              <w:left w:val="nil"/>
              <w:bottom w:val="single" w:color="000000" w:sz="8" w:space="0"/>
              <w:right w:val="single" w:color="000000" w:sz="8" w:space="0"/>
            </w:tcBorders>
            <w:shd w:val="clear" w:color="auto" w:fill="FFFFFF"/>
            <w:vAlign w:val="center"/>
          </w:tcPr>
          <w:p w14:paraId="2A8657C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5ADEF75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4809111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7FA5930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888.41 </w:t>
            </w:r>
          </w:p>
        </w:tc>
      </w:tr>
      <w:tr w14:paraId="323AF5D8">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14DA37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4B0EC45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人工费</w:t>
            </w:r>
          </w:p>
        </w:tc>
        <w:tc>
          <w:tcPr>
            <w:tcW w:w="1272" w:type="dxa"/>
            <w:tcBorders>
              <w:top w:val="nil"/>
              <w:left w:val="nil"/>
              <w:bottom w:val="single" w:color="000000" w:sz="8" w:space="0"/>
              <w:right w:val="single" w:color="000000" w:sz="8" w:space="0"/>
            </w:tcBorders>
            <w:shd w:val="clear" w:color="auto" w:fill="FFFFFF"/>
            <w:vAlign w:val="center"/>
          </w:tcPr>
          <w:p w14:paraId="1075D6A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01894ED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3575CB8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0D2F2B4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48.65 </w:t>
            </w:r>
          </w:p>
        </w:tc>
      </w:tr>
      <w:tr w14:paraId="2DF4BB4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E80C7B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38F54CE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甲类工</w:t>
            </w:r>
          </w:p>
        </w:tc>
        <w:tc>
          <w:tcPr>
            <w:tcW w:w="1272" w:type="dxa"/>
            <w:tcBorders>
              <w:top w:val="nil"/>
              <w:left w:val="nil"/>
              <w:bottom w:val="single" w:color="000000" w:sz="8" w:space="0"/>
              <w:right w:val="single" w:color="000000" w:sz="8" w:space="0"/>
            </w:tcBorders>
            <w:shd w:val="clear" w:color="auto" w:fill="FFFFFF"/>
            <w:vAlign w:val="center"/>
          </w:tcPr>
          <w:p w14:paraId="2B4A888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447B8B8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w:t>
            </w:r>
          </w:p>
        </w:tc>
        <w:tc>
          <w:tcPr>
            <w:tcW w:w="1170" w:type="dxa"/>
            <w:tcBorders>
              <w:top w:val="nil"/>
              <w:left w:val="nil"/>
              <w:bottom w:val="single" w:color="000000" w:sz="8" w:space="0"/>
              <w:right w:val="single" w:color="000000" w:sz="8" w:space="0"/>
            </w:tcBorders>
            <w:shd w:val="clear" w:color="auto" w:fill="auto"/>
            <w:vAlign w:val="center"/>
          </w:tcPr>
          <w:p w14:paraId="3963205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58.04 </w:t>
            </w:r>
          </w:p>
        </w:tc>
        <w:tc>
          <w:tcPr>
            <w:tcW w:w="1764" w:type="dxa"/>
            <w:tcBorders>
              <w:top w:val="nil"/>
              <w:left w:val="nil"/>
              <w:bottom w:val="single" w:color="000000" w:sz="8" w:space="0"/>
              <w:right w:val="single" w:color="000000" w:sz="12" w:space="0"/>
            </w:tcBorders>
            <w:shd w:val="clear" w:color="auto" w:fill="FFFFFF"/>
            <w:vAlign w:val="center"/>
          </w:tcPr>
          <w:p w14:paraId="77B033A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5.80 </w:t>
            </w:r>
          </w:p>
        </w:tc>
      </w:tr>
      <w:tr w14:paraId="53DCADEC">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391C2C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26EF121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乙类工</w:t>
            </w:r>
          </w:p>
        </w:tc>
        <w:tc>
          <w:tcPr>
            <w:tcW w:w="1272" w:type="dxa"/>
            <w:tcBorders>
              <w:top w:val="nil"/>
              <w:left w:val="nil"/>
              <w:bottom w:val="single" w:color="000000" w:sz="8" w:space="0"/>
              <w:right w:val="single" w:color="000000" w:sz="8" w:space="0"/>
            </w:tcBorders>
            <w:shd w:val="clear" w:color="auto" w:fill="FFFFFF"/>
            <w:vAlign w:val="center"/>
          </w:tcPr>
          <w:p w14:paraId="48320EB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2E9BB46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w:t>
            </w:r>
          </w:p>
        </w:tc>
        <w:tc>
          <w:tcPr>
            <w:tcW w:w="1170" w:type="dxa"/>
            <w:tcBorders>
              <w:top w:val="nil"/>
              <w:left w:val="nil"/>
              <w:bottom w:val="single" w:color="000000" w:sz="8" w:space="0"/>
              <w:right w:val="single" w:color="000000" w:sz="8" w:space="0"/>
            </w:tcBorders>
            <w:shd w:val="clear" w:color="auto" w:fill="auto"/>
            <w:vAlign w:val="center"/>
          </w:tcPr>
          <w:p w14:paraId="53FB64B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45.03 </w:t>
            </w:r>
          </w:p>
        </w:tc>
        <w:tc>
          <w:tcPr>
            <w:tcW w:w="1764" w:type="dxa"/>
            <w:tcBorders>
              <w:top w:val="nil"/>
              <w:left w:val="nil"/>
              <w:bottom w:val="single" w:color="000000" w:sz="8" w:space="0"/>
              <w:right w:val="single" w:color="000000" w:sz="12" w:space="0"/>
            </w:tcBorders>
            <w:shd w:val="clear" w:color="auto" w:fill="FFFFFF"/>
            <w:vAlign w:val="center"/>
          </w:tcPr>
          <w:p w14:paraId="1F07979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40.53 </w:t>
            </w:r>
          </w:p>
        </w:tc>
      </w:tr>
      <w:tr w14:paraId="730C5851">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5503D2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52EC32B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其他人工费</w:t>
            </w:r>
          </w:p>
        </w:tc>
        <w:tc>
          <w:tcPr>
            <w:tcW w:w="1272" w:type="dxa"/>
            <w:tcBorders>
              <w:top w:val="nil"/>
              <w:left w:val="nil"/>
              <w:bottom w:val="single" w:color="000000" w:sz="8" w:space="0"/>
              <w:right w:val="single" w:color="000000" w:sz="8" w:space="0"/>
            </w:tcBorders>
            <w:shd w:val="clear" w:color="auto" w:fill="FFFFFF"/>
            <w:vAlign w:val="center"/>
          </w:tcPr>
          <w:p w14:paraId="5F5136D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6A8652A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4C78AD8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46.33 </w:t>
            </w:r>
          </w:p>
        </w:tc>
        <w:tc>
          <w:tcPr>
            <w:tcW w:w="1764" w:type="dxa"/>
            <w:tcBorders>
              <w:top w:val="nil"/>
              <w:left w:val="nil"/>
              <w:bottom w:val="single" w:color="000000" w:sz="8" w:space="0"/>
              <w:right w:val="single" w:color="000000" w:sz="12" w:space="0"/>
            </w:tcBorders>
            <w:shd w:val="clear" w:color="auto" w:fill="FFFFFF"/>
            <w:vAlign w:val="center"/>
          </w:tcPr>
          <w:p w14:paraId="77B09A5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2.32 </w:t>
            </w:r>
          </w:p>
        </w:tc>
      </w:tr>
      <w:tr w14:paraId="67054E86">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526378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68A2192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机械费</w:t>
            </w:r>
          </w:p>
        </w:tc>
        <w:tc>
          <w:tcPr>
            <w:tcW w:w="1272" w:type="dxa"/>
            <w:tcBorders>
              <w:top w:val="nil"/>
              <w:left w:val="nil"/>
              <w:bottom w:val="single" w:color="000000" w:sz="8" w:space="0"/>
              <w:right w:val="single" w:color="000000" w:sz="8" w:space="0"/>
            </w:tcBorders>
            <w:shd w:val="clear" w:color="auto" w:fill="FFFFFF"/>
            <w:vAlign w:val="center"/>
          </w:tcPr>
          <w:p w14:paraId="41CC800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12E50D6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4297846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084624B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839.77 </w:t>
            </w:r>
          </w:p>
        </w:tc>
      </w:tr>
      <w:tr w14:paraId="3A8624F7">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47DA0D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24AA85AF">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挖掘机油动 1</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272" w:type="dxa"/>
            <w:tcBorders>
              <w:top w:val="nil"/>
              <w:left w:val="nil"/>
              <w:bottom w:val="single" w:color="000000" w:sz="8" w:space="0"/>
              <w:right w:val="single" w:color="000000" w:sz="8" w:space="0"/>
            </w:tcBorders>
            <w:shd w:val="clear" w:color="auto" w:fill="FFFFFF"/>
            <w:vAlign w:val="center"/>
          </w:tcPr>
          <w:p w14:paraId="2020C67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32F373F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0.22</w:t>
            </w:r>
          </w:p>
        </w:tc>
        <w:tc>
          <w:tcPr>
            <w:tcW w:w="1170" w:type="dxa"/>
            <w:tcBorders>
              <w:top w:val="nil"/>
              <w:left w:val="nil"/>
              <w:bottom w:val="single" w:color="000000" w:sz="8" w:space="0"/>
              <w:right w:val="single" w:color="000000" w:sz="8" w:space="0"/>
            </w:tcBorders>
            <w:shd w:val="clear" w:color="auto" w:fill="FFFFFF"/>
            <w:vAlign w:val="center"/>
          </w:tcPr>
          <w:p w14:paraId="641B389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776.49 </w:t>
            </w:r>
          </w:p>
        </w:tc>
        <w:tc>
          <w:tcPr>
            <w:tcW w:w="1764" w:type="dxa"/>
            <w:tcBorders>
              <w:top w:val="nil"/>
              <w:left w:val="nil"/>
              <w:bottom w:val="single" w:color="000000" w:sz="8" w:space="0"/>
              <w:right w:val="single" w:color="000000" w:sz="12" w:space="0"/>
            </w:tcBorders>
            <w:shd w:val="clear" w:color="auto" w:fill="FFFFFF"/>
            <w:vAlign w:val="center"/>
          </w:tcPr>
          <w:p w14:paraId="335E7B8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170.83 </w:t>
            </w:r>
          </w:p>
        </w:tc>
      </w:tr>
      <w:tr w14:paraId="7CBF969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A2A7E6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69A4627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推土机 59kw</w:t>
            </w:r>
          </w:p>
        </w:tc>
        <w:tc>
          <w:tcPr>
            <w:tcW w:w="1272" w:type="dxa"/>
            <w:tcBorders>
              <w:top w:val="nil"/>
              <w:left w:val="nil"/>
              <w:bottom w:val="single" w:color="000000" w:sz="8" w:space="0"/>
              <w:right w:val="single" w:color="000000" w:sz="8" w:space="0"/>
            </w:tcBorders>
            <w:shd w:val="clear" w:color="auto" w:fill="FFFFFF"/>
            <w:vAlign w:val="center"/>
          </w:tcPr>
          <w:p w14:paraId="479ACCA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0EEB8DB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0.16</w:t>
            </w:r>
          </w:p>
        </w:tc>
        <w:tc>
          <w:tcPr>
            <w:tcW w:w="1170" w:type="dxa"/>
            <w:tcBorders>
              <w:top w:val="nil"/>
              <w:left w:val="nil"/>
              <w:bottom w:val="single" w:color="000000" w:sz="8" w:space="0"/>
              <w:right w:val="single" w:color="000000" w:sz="8" w:space="0"/>
            </w:tcBorders>
            <w:shd w:val="clear" w:color="auto" w:fill="FFFFFF"/>
            <w:vAlign w:val="center"/>
          </w:tcPr>
          <w:p w14:paraId="6A4F659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389.54 </w:t>
            </w:r>
          </w:p>
        </w:tc>
        <w:tc>
          <w:tcPr>
            <w:tcW w:w="1764" w:type="dxa"/>
            <w:tcBorders>
              <w:top w:val="nil"/>
              <w:left w:val="nil"/>
              <w:bottom w:val="single" w:color="000000" w:sz="8" w:space="0"/>
              <w:right w:val="single" w:color="000000" w:sz="12" w:space="0"/>
            </w:tcBorders>
            <w:shd w:val="clear" w:color="auto" w:fill="FFFFFF"/>
            <w:vAlign w:val="center"/>
          </w:tcPr>
          <w:p w14:paraId="771AC8B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62.33 </w:t>
            </w:r>
          </w:p>
        </w:tc>
      </w:tr>
      <w:tr w14:paraId="3CEF2007">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001F63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133D393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自卸汽车8t</w:t>
            </w:r>
          </w:p>
        </w:tc>
        <w:tc>
          <w:tcPr>
            <w:tcW w:w="1272" w:type="dxa"/>
            <w:tcBorders>
              <w:top w:val="nil"/>
              <w:left w:val="nil"/>
              <w:bottom w:val="single" w:color="000000" w:sz="8" w:space="0"/>
              <w:right w:val="single" w:color="000000" w:sz="8" w:space="0"/>
            </w:tcBorders>
            <w:shd w:val="clear" w:color="auto" w:fill="FFFFFF"/>
            <w:vAlign w:val="center"/>
          </w:tcPr>
          <w:p w14:paraId="3B20CC1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596FB4D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1.06</w:t>
            </w:r>
          </w:p>
        </w:tc>
        <w:tc>
          <w:tcPr>
            <w:tcW w:w="1170" w:type="dxa"/>
            <w:tcBorders>
              <w:top w:val="nil"/>
              <w:left w:val="nil"/>
              <w:bottom w:val="single" w:color="000000" w:sz="8" w:space="0"/>
              <w:right w:val="single" w:color="000000" w:sz="8" w:space="0"/>
            </w:tcBorders>
            <w:shd w:val="clear" w:color="auto" w:fill="FFFFFF"/>
            <w:vAlign w:val="center"/>
          </w:tcPr>
          <w:p w14:paraId="5EB0E3D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534.55 </w:t>
            </w:r>
          </w:p>
        </w:tc>
        <w:tc>
          <w:tcPr>
            <w:tcW w:w="1764" w:type="dxa"/>
            <w:tcBorders>
              <w:top w:val="nil"/>
              <w:left w:val="nil"/>
              <w:bottom w:val="single" w:color="000000" w:sz="8" w:space="0"/>
              <w:right w:val="single" w:color="000000" w:sz="12" w:space="0"/>
            </w:tcBorders>
            <w:shd w:val="clear" w:color="auto" w:fill="FFFFFF"/>
            <w:vAlign w:val="center"/>
          </w:tcPr>
          <w:p w14:paraId="40324BB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566.62 </w:t>
            </w:r>
          </w:p>
        </w:tc>
      </w:tr>
      <w:tr w14:paraId="13081188">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156A68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2530" w:type="dxa"/>
            <w:tcBorders>
              <w:top w:val="nil"/>
              <w:left w:val="nil"/>
              <w:bottom w:val="single" w:color="000000" w:sz="8" w:space="0"/>
              <w:right w:val="single" w:color="000000" w:sz="8" w:space="0"/>
            </w:tcBorders>
            <w:shd w:val="clear" w:color="auto" w:fill="FFFFFF"/>
            <w:vAlign w:val="center"/>
          </w:tcPr>
          <w:p w14:paraId="0DFA38B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其他机械费</w:t>
            </w:r>
          </w:p>
        </w:tc>
        <w:tc>
          <w:tcPr>
            <w:tcW w:w="1272" w:type="dxa"/>
            <w:tcBorders>
              <w:top w:val="nil"/>
              <w:left w:val="nil"/>
              <w:bottom w:val="single" w:color="000000" w:sz="8" w:space="0"/>
              <w:right w:val="single" w:color="000000" w:sz="8" w:space="0"/>
            </w:tcBorders>
            <w:shd w:val="clear" w:color="auto" w:fill="FFFFFF"/>
            <w:vAlign w:val="center"/>
          </w:tcPr>
          <w:p w14:paraId="44B69D4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0DA3997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4471B42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799.78 </w:t>
            </w:r>
          </w:p>
        </w:tc>
        <w:tc>
          <w:tcPr>
            <w:tcW w:w="1764" w:type="dxa"/>
            <w:tcBorders>
              <w:top w:val="nil"/>
              <w:left w:val="nil"/>
              <w:bottom w:val="single" w:color="000000" w:sz="8" w:space="0"/>
              <w:right w:val="single" w:color="000000" w:sz="12" w:space="0"/>
            </w:tcBorders>
            <w:shd w:val="clear" w:color="auto" w:fill="FFFFFF"/>
            <w:vAlign w:val="center"/>
          </w:tcPr>
          <w:p w14:paraId="32E50B0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39.99 </w:t>
            </w:r>
          </w:p>
        </w:tc>
      </w:tr>
      <w:tr w14:paraId="4579451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87CA11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03D0628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措施费</w:t>
            </w:r>
          </w:p>
        </w:tc>
        <w:tc>
          <w:tcPr>
            <w:tcW w:w="1272" w:type="dxa"/>
            <w:tcBorders>
              <w:top w:val="nil"/>
              <w:left w:val="nil"/>
              <w:bottom w:val="single" w:color="000000" w:sz="8" w:space="0"/>
              <w:right w:val="single" w:color="000000" w:sz="8" w:space="0"/>
            </w:tcBorders>
            <w:shd w:val="clear" w:color="auto" w:fill="FFFFFF"/>
            <w:vAlign w:val="center"/>
          </w:tcPr>
          <w:p w14:paraId="15563AF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2401040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6C7032C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888.41 </w:t>
            </w:r>
          </w:p>
        </w:tc>
        <w:tc>
          <w:tcPr>
            <w:tcW w:w="1764" w:type="dxa"/>
            <w:tcBorders>
              <w:top w:val="nil"/>
              <w:left w:val="nil"/>
              <w:bottom w:val="single" w:color="000000" w:sz="8" w:space="0"/>
              <w:right w:val="single" w:color="000000" w:sz="12" w:space="0"/>
            </w:tcBorders>
            <w:shd w:val="clear" w:color="auto" w:fill="FFFFFF"/>
            <w:vAlign w:val="center"/>
          </w:tcPr>
          <w:p w14:paraId="4E1EE67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44.42 </w:t>
            </w:r>
          </w:p>
        </w:tc>
      </w:tr>
      <w:tr w14:paraId="77B35F0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63E543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730AC6E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间接费</w:t>
            </w:r>
          </w:p>
        </w:tc>
        <w:tc>
          <w:tcPr>
            <w:tcW w:w="1272" w:type="dxa"/>
            <w:tcBorders>
              <w:top w:val="nil"/>
              <w:left w:val="nil"/>
              <w:bottom w:val="single" w:color="000000" w:sz="8" w:space="0"/>
              <w:right w:val="single" w:color="000000" w:sz="8" w:space="0"/>
            </w:tcBorders>
            <w:shd w:val="clear" w:color="auto" w:fill="FFFFFF"/>
            <w:vAlign w:val="center"/>
          </w:tcPr>
          <w:p w14:paraId="7DF0BFD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617B1EA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01730AF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932.83 </w:t>
            </w:r>
          </w:p>
        </w:tc>
        <w:tc>
          <w:tcPr>
            <w:tcW w:w="1764" w:type="dxa"/>
            <w:tcBorders>
              <w:top w:val="nil"/>
              <w:left w:val="nil"/>
              <w:bottom w:val="single" w:color="000000" w:sz="8" w:space="0"/>
              <w:right w:val="single" w:color="000000" w:sz="12" w:space="0"/>
            </w:tcBorders>
            <w:shd w:val="clear" w:color="auto" w:fill="FFFFFF"/>
            <w:vAlign w:val="center"/>
          </w:tcPr>
          <w:p w14:paraId="0054820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46.64 </w:t>
            </w:r>
          </w:p>
        </w:tc>
      </w:tr>
      <w:tr w14:paraId="37B742D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1E094F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w:t>
            </w:r>
          </w:p>
        </w:tc>
        <w:tc>
          <w:tcPr>
            <w:tcW w:w="2530" w:type="dxa"/>
            <w:tcBorders>
              <w:top w:val="nil"/>
              <w:left w:val="nil"/>
              <w:bottom w:val="single" w:color="000000" w:sz="8" w:space="0"/>
              <w:right w:val="single" w:color="000000" w:sz="8" w:space="0"/>
            </w:tcBorders>
            <w:shd w:val="clear" w:color="auto" w:fill="FFFFFF"/>
            <w:vAlign w:val="center"/>
          </w:tcPr>
          <w:p w14:paraId="2B7C7AA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利润</w:t>
            </w:r>
          </w:p>
        </w:tc>
        <w:tc>
          <w:tcPr>
            <w:tcW w:w="1272" w:type="dxa"/>
            <w:tcBorders>
              <w:top w:val="nil"/>
              <w:left w:val="nil"/>
              <w:bottom w:val="single" w:color="000000" w:sz="8" w:space="0"/>
              <w:right w:val="single" w:color="000000" w:sz="8" w:space="0"/>
            </w:tcBorders>
            <w:shd w:val="clear" w:color="auto" w:fill="FFFFFF"/>
            <w:vAlign w:val="center"/>
          </w:tcPr>
          <w:p w14:paraId="51E5254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134932F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w:t>
            </w:r>
          </w:p>
        </w:tc>
        <w:tc>
          <w:tcPr>
            <w:tcW w:w="1170" w:type="dxa"/>
            <w:tcBorders>
              <w:top w:val="nil"/>
              <w:left w:val="nil"/>
              <w:bottom w:val="single" w:color="000000" w:sz="8" w:space="0"/>
              <w:right w:val="single" w:color="000000" w:sz="8" w:space="0"/>
            </w:tcBorders>
            <w:shd w:val="clear" w:color="auto" w:fill="FFFFFF"/>
            <w:vAlign w:val="center"/>
          </w:tcPr>
          <w:p w14:paraId="5464C20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979.48 </w:t>
            </w:r>
          </w:p>
        </w:tc>
        <w:tc>
          <w:tcPr>
            <w:tcW w:w="1764" w:type="dxa"/>
            <w:tcBorders>
              <w:top w:val="nil"/>
              <w:left w:val="nil"/>
              <w:bottom w:val="single" w:color="000000" w:sz="8" w:space="0"/>
              <w:right w:val="single" w:color="000000" w:sz="12" w:space="0"/>
            </w:tcBorders>
            <w:shd w:val="clear" w:color="auto" w:fill="FFFFFF"/>
            <w:vAlign w:val="center"/>
          </w:tcPr>
          <w:p w14:paraId="6856EF4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68.56 </w:t>
            </w:r>
          </w:p>
        </w:tc>
      </w:tr>
      <w:tr w14:paraId="7F68B839">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753726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四</w:t>
            </w:r>
          </w:p>
        </w:tc>
        <w:tc>
          <w:tcPr>
            <w:tcW w:w="2530" w:type="dxa"/>
            <w:tcBorders>
              <w:top w:val="nil"/>
              <w:left w:val="nil"/>
              <w:bottom w:val="single" w:color="000000" w:sz="8" w:space="0"/>
              <w:right w:val="single" w:color="000000" w:sz="8" w:space="0"/>
            </w:tcBorders>
            <w:shd w:val="clear" w:color="auto" w:fill="FFFFFF"/>
            <w:vAlign w:val="center"/>
          </w:tcPr>
          <w:p w14:paraId="0C8425D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材料价差</w:t>
            </w:r>
          </w:p>
        </w:tc>
        <w:tc>
          <w:tcPr>
            <w:tcW w:w="1272" w:type="dxa"/>
            <w:tcBorders>
              <w:top w:val="nil"/>
              <w:left w:val="nil"/>
              <w:bottom w:val="single" w:color="000000" w:sz="8" w:space="0"/>
              <w:right w:val="single" w:color="000000" w:sz="8" w:space="0"/>
            </w:tcBorders>
            <w:shd w:val="clear" w:color="auto" w:fill="FFFFFF"/>
            <w:vAlign w:val="center"/>
          </w:tcPr>
          <w:p w14:paraId="3D5B059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16D04E0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11CD715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2B69789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236.28 </w:t>
            </w:r>
          </w:p>
        </w:tc>
      </w:tr>
      <w:tr w14:paraId="33E166AA">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3BD295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6A25FA1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柴油</w:t>
            </w:r>
          </w:p>
        </w:tc>
        <w:tc>
          <w:tcPr>
            <w:tcW w:w="1272" w:type="dxa"/>
            <w:tcBorders>
              <w:top w:val="nil"/>
              <w:left w:val="nil"/>
              <w:bottom w:val="single" w:color="000000" w:sz="8" w:space="0"/>
              <w:right w:val="single" w:color="000000" w:sz="8" w:space="0"/>
            </w:tcBorders>
            <w:shd w:val="clear" w:color="auto" w:fill="FFFFFF"/>
            <w:vAlign w:val="center"/>
          </w:tcPr>
          <w:p w14:paraId="2741314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kg</w:t>
            </w:r>
          </w:p>
        </w:tc>
        <w:tc>
          <w:tcPr>
            <w:tcW w:w="1164" w:type="dxa"/>
            <w:tcBorders>
              <w:top w:val="nil"/>
              <w:left w:val="nil"/>
              <w:bottom w:val="single" w:color="000000" w:sz="8" w:space="0"/>
              <w:right w:val="single" w:color="000000" w:sz="8" w:space="0"/>
            </w:tcBorders>
            <w:shd w:val="clear" w:color="auto" w:fill="FFFFFF"/>
            <w:vAlign w:val="center"/>
          </w:tcPr>
          <w:p w14:paraId="360B79B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72.7</w:t>
            </w:r>
          </w:p>
        </w:tc>
        <w:tc>
          <w:tcPr>
            <w:tcW w:w="1170" w:type="dxa"/>
            <w:tcBorders>
              <w:top w:val="nil"/>
              <w:left w:val="nil"/>
              <w:bottom w:val="single" w:color="000000" w:sz="8" w:space="0"/>
              <w:right w:val="single" w:color="000000" w:sz="8" w:space="0"/>
            </w:tcBorders>
            <w:shd w:val="clear" w:color="auto" w:fill="FFFFFF"/>
            <w:vAlign w:val="center"/>
          </w:tcPr>
          <w:p w14:paraId="1956283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3.25 </w:t>
            </w:r>
          </w:p>
        </w:tc>
        <w:tc>
          <w:tcPr>
            <w:tcW w:w="1764" w:type="dxa"/>
            <w:tcBorders>
              <w:top w:val="nil"/>
              <w:left w:val="nil"/>
              <w:bottom w:val="single" w:color="000000" w:sz="8" w:space="0"/>
              <w:right w:val="single" w:color="000000" w:sz="12" w:space="0"/>
            </w:tcBorders>
            <w:shd w:val="clear" w:color="auto" w:fill="FFFFFF"/>
            <w:vAlign w:val="center"/>
          </w:tcPr>
          <w:p w14:paraId="7292426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236.28 </w:t>
            </w:r>
          </w:p>
        </w:tc>
      </w:tr>
      <w:tr w14:paraId="5882A97E">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8B37D2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五</w:t>
            </w:r>
          </w:p>
        </w:tc>
        <w:tc>
          <w:tcPr>
            <w:tcW w:w="2530" w:type="dxa"/>
            <w:tcBorders>
              <w:top w:val="nil"/>
              <w:left w:val="nil"/>
              <w:bottom w:val="single" w:color="000000" w:sz="8" w:space="0"/>
              <w:right w:val="single" w:color="000000" w:sz="8" w:space="0"/>
            </w:tcBorders>
            <w:shd w:val="clear" w:color="auto" w:fill="FFFFFF"/>
            <w:vAlign w:val="center"/>
          </w:tcPr>
          <w:p w14:paraId="5F1E026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未计价材料费</w:t>
            </w:r>
          </w:p>
        </w:tc>
        <w:tc>
          <w:tcPr>
            <w:tcW w:w="1272" w:type="dxa"/>
            <w:tcBorders>
              <w:top w:val="nil"/>
              <w:left w:val="nil"/>
              <w:bottom w:val="single" w:color="000000" w:sz="8" w:space="0"/>
              <w:right w:val="single" w:color="000000" w:sz="8" w:space="0"/>
            </w:tcBorders>
            <w:shd w:val="clear" w:color="auto" w:fill="FFFFFF"/>
            <w:vAlign w:val="center"/>
          </w:tcPr>
          <w:p w14:paraId="07BEFCB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253D712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294A39B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195FBA3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115.59 </w:t>
            </w:r>
          </w:p>
        </w:tc>
      </w:tr>
      <w:tr w14:paraId="22161EA4">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23D677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六</w:t>
            </w:r>
          </w:p>
        </w:tc>
        <w:tc>
          <w:tcPr>
            <w:tcW w:w="2530" w:type="dxa"/>
            <w:tcBorders>
              <w:top w:val="nil"/>
              <w:left w:val="nil"/>
              <w:bottom w:val="single" w:color="000000" w:sz="8" w:space="0"/>
              <w:right w:val="single" w:color="000000" w:sz="8" w:space="0"/>
            </w:tcBorders>
            <w:shd w:val="clear" w:color="auto" w:fill="FFFFFF"/>
            <w:vAlign w:val="center"/>
          </w:tcPr>
          <w:p w14:paraId="331DF4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税金</w:t>
            </w:r>
          </w:p>
        </w:tc>
        <w:tc>
          <w:tcPr>
            <w:tcW w:w="1272" w:type="dxa"/>
            <w:tcBorders>
              <w:top w:val="nil"/>
              <w:left w:val="nil"/>
              <w:bottom w:val="single" w:color="000000" w:sz="8" w:space="0"/>
              <w:right w:val="single" w:color="000000" w:sz="8" w:space="0"/>
            </w:tcBorders>
            <w:shd w:val="clear" w:color="auto" w:fill="FFFFFF"/>
            <w:vAlign w:val="center"/>
          </w:tcPr>
          <w:p w14:paraId="19C0105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bottom"/>
          </w:tcPr>
          <w:p w14:paraId="602FE0F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w:t>
            </w:r>
          </w:p>
        </w:tc>
        <w:tc>
          <w:tcPr>
            <w:tcW w:w="1170" w:type="dxa"/>
            <w:tcBorders>
              <w:top w:val="nil"/>
              <w:left w:val="nil"/>
              <w:bottom w:val="single" w:color="000000" w:sz="8" w:space="0"/>
              <w:right w:val="single" w:color="000000" w:sz="8" w:space="0"/>
            </w:tcBorders>
            <w:shd w:val="clear" w:color="auto" w:fill="FFFFFF"/>
            <w:vAlign w:val="bottom"/>
          </w:tcPr>
          <w:p w14:paraId="615CE1B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1284.31 </w:t>
            </w:r>
          </w:p>
        </w:tc>
        <w:tc>
          <w:tcPr>
            <w:tcW w:w="1764" w:type="dxa"/>
            <w:tcBorders>
              <w:top w:val="nil"/>
              <w:left w:val="nil"/>
              <w:bottom w:val="single" w:color="000000" w:sz="8" w:space="0"/>
              <w:right w:val="single" w:color="000000" w:sz="12" w:space="0"/>
            </w:tcBorders>
            <w:shd w:val="clear" w:color="auto" w:fill="FFFFFF"/>
            <w:vAlign w:val="center"/>
          </w:tcPr>
          <w:p w14:paraId="57FD24C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115.59 </w:t>
            </w:r>
          </w:p>
        </w:tc>
      </w:tr>
      <w:tr w14:paraId="18544284">
        <w:tblPrEx>
          <w:tblCellMar>
            <w:top w:w="11" w:type="dxa"/>
            <w:left w:w="11" w:type="dxa"/>
            <w:bottom w:w="11" w:type="dxa"/>
            <w:right w:w="11" w:type="dxa"/>
          </w:tblCellMar>
        </w:tblPrEx>
        <w:trPr>
          <w:trHeight w:val="20" w:hRule="atLeast"/>
          <w:jc w:val="center"/>
        </w:trPr>
        <w:tc>
          <w:tcPr>
            <w:tcW w:w="1200" w:type="dxa"/>
            <w:tcBorders>
              <w:top w:val="single" w:color="000000" w:sz="8" w:space="0"/>
              <w:left w:val="single" w:color="000000" w:sz="12" w:space="0"/>
              <w:bottom w:val="single" w:color="000000" w:sz="12" w:space="0"/>
              <w:right w:val="single" w:color="auto" w:sz="4" w:space="0"/>
            </w:tcBorders>
            <w:shd w:val="clear" w:color="auto" w:fill="FFFFFF"/>
            <w:vAlign w:val="center"/>
          </w:tcPr>
          <w:p w14:paraId="3C1315D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2530" w:type="dxa"/>
            <w:tcBorders>
              <w:top w:val="single" w:color="000000" w:sz="8" w:space="0"/>
              <w:left w:val="single" w:color="auto" w:sz="4" w:space="0"/>
              <w:bottom w:val="single" w:color="000000" w:sz="12" w:space="0"/>
              <w:right w:val="single" w:color="000000" w:sz="8" w:space="0"/>
            </w:tcBorders>
            <w:shd w:val="clear" w:color="auto" w:fill="FFFFFF"/>
            <w:vAlign w:val="center"/>
          </w:tcPr>
          <w:p w14:paraId="6C8D15E4">
            <w:pPr>
              <w:topLinePunct/>
              <w:snapToGrid w:val="0"/>
              <w:spacing w:line="240" w:lineRule="auto"/>
              <w:jc w:val="center"/>
              <w:rPr>
                <w:rFonts w:ascii="Times New Roman" w:hAnsi="Times New Roman" w:cs="Times New Roman"/>
                <w:color w:val="000000" w:themeColor="text1"/>
                <w:kern w:val="0"/>
                <w:sz w:val="24"/>
                <w:szCs w:val="24"/>
              </w:rPr>
            </w:pPr>
          </w:p>
        </w:tc>
        <w:tc>
          <w:tcPr>
            <w:tcW w:w="1272" w:type="dxa"/>
            <w:tcBorders>
              <w:top w:val="nil"/>
              <w:left w:val="nil"/>
              <w:bottom w:val="single" w:color="000000" w:sz="12" w:space="0"/>
              <w:right w:val="single" w:color="000000" w:sz="8" w:space="0"/>
            </w:tcBorders>
            <w:shd w:val="clear" w:color="auto" w:fill="FFFFFF"/>
            <w:vAlign w:val="center"/>
          </w:tcPr>
          <w:p w14:paraId="5FA77F2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64" w:type="dxa"/>
            <w:tcBorders>
              <w:top w:val="nil"/>
              <w:left w:val="nil"/>
              <w:bottom w:val="single" w:color="000000" w:sz="12" w:space="0"/>
              <w:right w:val="single" w:color="000000" w:sz="8" w:space="0"/>
            </w:tcBorders>
            <w:shd w:val="clear" w:color="auto" w:fill="FFFFFF"/>
            <w:vAlign w:val="center"/>
          </w:tcPr>
          <w:p w14:paraId="5E4376A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70" w:type="dxa"/>
            <w:tcBorders>
              <w:top w:val="nil"/>
              <w:left w:val="nil"/>
              <w:bottom w:val="single" w:color="000000" w:sz="12" w:space="0"/>
              <w:right w:val="single" w:color="000000" w:sz="8" w:space="0"/>
            </w:tcBorders>
            <w:shd w:val="clear" w:color="auto" w:fill="FFFFFF"/>
            <w:vAlign w:val="center"/>
          </w:tcPr>
          <w:p w14:paraId="0A748BC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64" w:type="dxa"/>
            <w:tcBorders>
              <w:top w:val="nil"/>
              <w:left w:val="nil"/>
              <w:bottom w:val="single" w:color="000000" w:sz="12" w:space="0"/>
              <w:right w:val="single" w:color="000000" w:sz="12" w:space="0"/>
            </w:tcBorders>
            <w:shd w:val="clear" w:color="auto" w:fill="FFFFFF"/>
            <w:vAlign w:val="center"/>
          </w:tcPr>
          <w:p w14:paraId="72B4DFD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1399.90 </w:t>
            </w:r>
          </w:p>
        </w:tc>
      </w:tr>
    </w:tbl>
    <w:p w14:paraId="1073BD37">
      <w:pPr>
        <w:tabs>
          <w:tab w:val="left" w:pos="3403"/>
        </w:tabs>
        <w:spacing w:before="28"/>
        <w:ind w:left="2" w:right="44"/>
        <w:jc w:val="center"/>
        <w:rPr>
          <w:rFonts w:ascii="Times New Roman" w:hAnsi="Times New Roman" w:cs="Times New Roman"/>
          <w:b/>
          <w:color w:val="000000" w:themeColor="text1"/>
          <w:sz w:val="24"/>
          <w:szCs w:val="24"/>
        </w:rPr>
      </w:pPr>
    </w:p>
    <w:p w14:paraId="0E9180E3">
      <w:pPr>
        <w:tabs>
          <w:tab w:val="left" w:pos="3403"/>
        </w:tabs>
        <w:spacing w:before="28"/>
        <w:ind w:left="2" w:right="44"/>
        <w:jc w:val="center"/>
        <w:rPr>
          <w:rFonts w:ascii="Times New Roman" w:hAnsi="Times New Roman" w:cs="Times New Roman"/>
          <w:b/>
          <w:color w:val="000000" w:themeColor="text1"/>
          <w:sz w:val="24"/>
          <w:szCs w:val="24"/>
        </w:rPr>
      </w:pPr>
    </w:p>
    <w:p w14:paraId="0BC29629">
      <w:pPr>
        <w:tabs>
          <w:tab w:val="left" w:pos="3403"/>
        </w:tabs>
        <w:spacing w:before="28"/>
        <w:ind w:left="2" w:right="44"/>
        <w:jc w:val="center"/>
        <w:rPr>
          <w:rFonts w:ascii="Times New Roman" w:hAnsi="Times New Roman" w:cs="Times New Roman"/>
          <w:b/>
          <w:color w:val="000000" w:themeColor="text1"/>
          <w:sz w:val="24"/>
          <w:szCs w:val="24"/>
        </w:rPr>
      </w:pPr>
    </w:p>
    <w:p w14:paraId="5DB873FC">
      <w:pPr>
        <w:tabs>
          <w:tab w:val="left" w:pos="3403"/>
        </w:tabs>
        <w:spacing w:before="28"/>
        <w:ind w:left="2" w:right="44"/>
        <w:jc w:val="center"/>
        <w:rPr>
          <w:rFonts w:ascii="Times New Roman" w:hAnsi="Times New Roman" w:cs="Times New Roman"/>
          <w:b/>
          <w:color w:val="000000" w:themeColor="text1"/>
          <w:sz w:val="24"/>
          <w:szCs w:val="24"/>
        </w:rPr>
      </w:pPr>
    </w:p>
    <w:p w14:paraId="204BFC8C">
      <w:pPr>
        <w:tabs>
          <w:tab w:val="left" w:pos="3403"/>
        </w:tabs>
        <w:spacing w:before="28"/>
        <w:ind w:left="2" w:right="44"/>
        <w:jc w:val="center"/>
        <w:rPr>
          <w:rFonts w:ascii="Times New Roman" w:hAnsi="Times New Roman" w:cs="Times New Roman"/>
          <w:b/>
          <w:color w:val="000000" w:themeColor="text1"/>
          <w:sz w:val="24"/>
          <w:szCs w:val="24"/>
        </w:rPr>
      </w:pPr>
    </w:p>
    <w:p w14:paraId="6C5F0A43">
      <w:pPr>
        <w:tabs>
          <w:tab w:val="left" w:pos="3403"/>
        </w:tabs>
        <w:spacing w:before="28"/>
        <w:ind w:left="2" w:right="44"/>
        <w:jc w:val="center"/>
        <w:rPr>
          <w:rFonts w:ascii="Times New Roman" w:hAnsi="Times New Roman" w:cs="Times New Roman"/>
          <w:b/>
          <w:color w:val="000000" w:themeColor="text1"/>
          <w:sz w:val="24"/>
          <w:szCs w:val="24"/>
        </w:rPr>
      </w:pPr>
    </w:p>
    <w:p w14:paraId="02970EDE">
      <w:pPr>
        <w:tabs>
          <w:tab w:val="left" w:pos="3403"/>
        </w:tabs>
        <w:spacing w:before="28"/>
        <w:ind w:left="2" w:right="44"/>
        <w:jc w:val="center"/>
        <w:rPr>
          <w:rFonts w:ascii="Times New Roman" w:hAnsi="Times New Roman" w:cs="Times New Roman"/>
          <w:b/>
          <w:color w:val="000000" w:themeColor="text1"/>
          <w:sz w:val="24"/>
          <w:szCs w:val="24"/>
        </w:rPr>
      </w:pPr>
    </w:p>
    <w:p w14:paraId="6338E14F">
      <w:pPr>
        <w:tabs>
          <w:tab w:val="left" w:pos="3403"/>
        </w:tabs>
        <w:spacing w:before="28"/>
        <w:ind w:left="2" w:right="44"/>
        <w:jc w:val="center"/>
        <w:rPr>
          <w:rFonts w:ascii="Times New Roman" w:hAnsi="Times New Roman" w:cs="Times New Roman"/>
          <w:b/>
          <w:color w:val="000000" w:themeColor="text1"/>
          <w:sz w:val="24"/>
          <w:szCs w:val="24"/>
        </w:rPr>
      </w:pPr>
    </w:p>
    <w:p w14:paraId="4C0C29AA">
      <w:pPr>
        <w:tabs>
          <w:tab w:val="left" w:pos="3403"/>
        </w:tabs>
        <w:spacing w:before="28"/>
        <w:ind w:left="2" w:right="44"/>
        <w:jc w:val="center"/>
        <w:rPr>
          <w:rFonts w:ascii="Times New Roman" w:hAnsi="Times New Roman" w:cs="Times New Roman"/>
          <w:b/>
          <w:color w:val="000000" w:themeColor="text1"/>
          <w:sz w:val="24"/>
          <w:szCs w:val="24"/>
        </w:rPr>
      </w:pPr>
    </w:p>
    <w:p w14:paraId="1E8B3E45">
      <w:pPr>
        <w:tabs>
          <w:tab w:val="left" w:pos="3403"/>
        </w:tabs>
        <w:spacing w:before="28"/>
        <w:ind w:left="2" w:right="44"/>
        <w:jc w:val="center"/>
        <w:rPr>
          <w:rFonts w:ascii="Times New Roman" w:hAnsi="Times New Roman" w:cs="Times New Roman"/>
          <w:b/>
          <w:color w:val="000000" w:themeColor="text1"/>
          <w:sz w:val="24"/>
          <w:szCs w:val="24"/>
        </w:rPr>
      </w:pPr>
    </w:p>
    <w:p w14:paraId="532ED426">
      <w:pPr>
        <w:tabs>
          <w:tab w:val="left" w:pos="3403"/>
        </w:tabs>
        <w:spacing w:before="28"/>
        <w:ind w:left="2" w:right="44"/>
        <w:jc w:val="center"/>
        <w:rPr>
          <w:rFonts w:ascii="Times New Roman" w:hAnsi="Times New Roman" w:cs="Times New Roman"/>
          <w:b/>
          <w:color w:val="000000" w:themeColor="text1"/>
          <w:sz w:val="24"/>
          <w:szCs w:val="24"/>
        </w:rPr>
      </w:pPr>
    </w:p>
    <w:p w14:paraId="30D8296C">
      <w:pPr>
        <w:tabs>
          <w:tab w:val="left" w:pos="3403"/>
        </w:tabs>
        <w:spacing w:before="28"/>
        <w:ind w:left="2" w:right="44"/>
        <w:jc w:val="center"/>
        <w:rPr>
          <w:rFonts w:ascii="Times New Roman" w:hAnsi="Times New Roman" w:cs="Times New Roman"/>
          <w:b/>
          <w:color w:val="000000" w:themeColor="text1"/>
          <w:sz w:val="24"/>
          <w:szCs w:val="24"/>
        </w:rPr>
      </w:pPr>
    </w:p>
    <w:p w14:paraId="089D1F41">
      <w:pPr>
        <w:tabs>
          <w:tab w:val="left" w:pos="3403"/>
        </w:tabs>
        <w:spacing w:before="28"/>
        <w:ind w:left="2" w:right="44"/>
        <w:jc w:val="center"/>
        <w:rPr>
          <w:rFonts w:ascii="Times New Roman" w:hAnsi="Times New Roman" w:cs="Times New Roman"/>
          <w:b/>
          <w:color w:val="000000" w:themeColor="text1"/>
          <w:sz w:val="24"/>
          <w:szCs w:val="24"/>
        </w:rPr>
      </w:pPr>
    </w:p>
    <w:p w14:paraId="4AACDA14">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表6-1</w:t>
      </w:r>
      <w:r>
        <w:rPr>
          <w:rFonts w:hint="eastAsia" w:ascii="Times New Roman" w:hAnsi="Times New Roman" w:cs="Times New Roman"/>
          <w:b/>
          <w:color w:val="000000" w:themeColor="text1"/>
          <w:sz w:val="24"/>
          <w:szCs w:val="24"/>
        </w:rPr>
        <w:t>2</w:t>
      </w:r>
      <w:r>
        <w:rPr>
          <w:rFonts w:ascii="Times New Roman" w:hAnsi="Times New Roman" w:cs="Times New Roman"/>
          <w:b/>
          <w:color w:val="000000" w:themeColor="text1"/>
          <w:sz w:val="24"/>
          <w:szCs w:val="24"/>
        </w:rPr>
        <w:t xml:space="preserve"> 1</w:t>
      </w:r>
      <w:r>
        <w:rPr>
          <w:rFonts w:hint="eastAsia" w:ascii="Times New Roman" w:hAnsi="Times New Roman" w:cs="Times New Roman"/>
          <w:b/>
          <w:color w:val="000000" w:themeColor="text1"/>
          <w:sz w:val="24"/>
          <w:szCs w:val="24"/>
          <w:lang w:eastAsia="zh-CN"/>
        </w:rPr>
        <w:t>m</w:t>
      </w:r>
      <w:r>
        <w:rPr>
          <w:rFonts w:hint="eastAsia" w:ascii="Times New Roman" w:hAnsi="Times New Roman" w:cs="Times New Roman"/>
          <w:b/>
          <w:strike w:val="0"/>
          <w:dstrike w:val="0"/>
          <w:color w:val="000000" w:themeColor="text1"/>
          <w:sz w:val="24"/>
          <w:szCs w:val="24"/>
          <w:vertAlign w:val="superscript"/>
          <w:lang w:eastAsia="zh-CN"/>
        </w:rPr>
        <w:t>3</w:t>
      </w:r>
      <w:r>
        <w:rPr>
          <w:rFonts w:ascii="Times New Roman" w:hAnsi="Times New Roman" w:cs="Times New Roman"/>
          <w:b/>
          <w:color w:val="000000" w:themeColor="text1"/>
          <w:sz w:val="24"/>
          <w:szCs w:val="24"/>
        </w:rPr>
        <w:t>挖掘机装石渣自卸汽车运输</w:t>
      </w:r>
    </w:p>
    <w:p w14:paraId="4405211E">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定额编号：2-319                                             定额单位：100</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p w14:paraId="2730ED7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工作内容：装、运、卸、空回。运距：0.5~1km。                    金额单位：元</w:t>
      </w:r>
    </w:p>
    <w:tbl>
      <w:tblPr>
        <w:tblStyle w:val="42"/>
        <w:tblW w:w="5000" w:type="pct"/>
        <w:jc w:val="center"/>
        <w:tblLayout w:type="autofit"/>
        <w:tblCellMar>
          <w:top w:w="11" w:type="dxa"/>
          <w:left w:w="11" w:type="dxa"/>
          <w:bottom w:w="11" w:type="dxa"/>
          <w:right w:w="11" w:type="dxa"/>
        </w:tblCellMar>
      </w:tblPr>
      <w:tblGrid>
        <w:gridCol w:w="1200"/>
        <w:gridCol w:w="2530"/>
        <w:gridCol w:w="1272"/>
        <w:gridCol w:w="1164"/>
        <w:gridCol w:w="1170"/>
        <w:gridCol w:w="1764"/>
      </w:tblGrid>
      <w:tr w14:paraId="1292F86A">
        <w:tblPrEx>
          <w:tblCellMar>
            <w:top w:w="11" w:type="dxa"/>
            <w:left w:w="11" w:type="dxa"/>
            <w:bottom w:w="11" w:type="dxa"/>
            <w:right w:w="11" w:type="dxa"/>
          </w:tblCellMar>
        </w:tblPrEx>
        <w:trPr>
          <w:trHeight w:val="20" w:hRule="atLeast"/>
          <w:jc w:val="center"/>
        </w:trPr>
        <w:tc>
          <w:tcPr>
            <w:tcW w:w="1200" w:type="dxa"/>
            <w:tcBorders>
              <w:top w:val="single" w:color="000000" w:sz="12" w:space="0"/>
              <w:left w:val="single" w:color="000000" w:sz="12" w:space="0"/>
              <w:bottom w:val="single" w:color="000000" w:sz="8" w:space="0"/>
              <w:right w:val="single" w:color="000000" w:sz="8" w:space="0"/>
            </w:tcBorders>
            <w:shd w:val="clear" w:color="auto" w:fill="FFFFFF"/>
            <w:vAlign w:val="center"/>
          </w:tcPr>
          <w:p w14:paraId="7DDFE14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序号</w:t>
            </w:r>
          </w:p>
        </w:tc>
        <w:tc>
          <w:tcPr>
            <w:tcW w:w="2530" w:type="dxa"/>
            <w:tcBorders>
              <w:top w:val="single" w:color="000000" w:sz="12" w:space="0"/>
              <w:left w:val="nil"/>
              <w:bottom w:val="single" w:color="000000" w:sz="8" w:space="0"/>
              <w:right w:val="single" w:color="000000" w:sz="8" w:space="0"/>
            </w:tcBorders>
            <w:shd w:val="clear" w:color="auto" w:fill="FFFFFF"/>
            <w:vAlign w:val="center"/>
          </w:tcPr>
          <w:p w14:paraId="5C8D135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项目名称</w:t>
            </w:r>
          </w:p>
        </w:tc>
        <w:tc>
          <w:tcPr>
            <w:tcW w:w="1272" w:type="dxa"/>
            <w:tcBorders>
              <w:top w:val="single" w:color="000000" w:sz="12" w:space="0"/>
              <w:left w:val="nil"/>
              <w:bottom w:val="single" w:color="000000" w:sz="8" w:space="0"/>
              <w:right w:val="single" w:color="000000" w:sz="8" w:space="0"/>
            </w:tcBorders>
            <w:shd w:val="clear" w:color="auto" w:fill="FFFFFF"/>
            <w:vAlign w:val="center"/>
          </w:tcPr>
          <w:p w14:paraId="5F1CFE2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单   位</w:t>
            </w:r>
          </w:p>
        </w:tc>
        <w:tc>
          <w:tcPr>
            <w:tcW w:w="1164" w:type="dxa"/>
            <w:tcBorders>
              <w:top w:val="single" w:color="000000" w:sz="12" w:space="0"/>
              <w:left w:val="nil"/>
              <w:bottom w:val="single" w:color="000000" w:sz="8" w:space="0"/>
              <w:right w:val="single" w:color="000000" w:sz="8" w:space="0"/>
            </w:tcBorders>
            <w:shd w:val="clear" w:color="auto" w:fill="FFFFFF"/>
            <w:vAlign w:val="center"/>
          </w:tcPr>
          <w:p w14:paraId="07D47B6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数   量</w:t>
            </w:r>
          </w:p>
        </w:tc>
        <w:tc>
          <w:tcPr>
            <w:tcW w:w="1170" w:type="dxa"/>
            <w:tcBorders>
              <w:top w:val="single" w:color="000000" w:sz="12" w:space="0"/>
              <w:left w:val="nil"/>
              <w:bottom w:val="single" w:color="000000" w:sz="8" w:space="0"/>
              <w:right w:val="single" w:color="000000" w:sz="8" w:space="0"/>
            </w:tcBorders>
            <w:shd w:val="clear" w:color="auto" w:fill="FFFFFF"/>
            <w:vAlign w:val="center"/>
          </w:tcPr>
          <w:p w14:paraId="39A443C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单   价</w:t>
            </w:r>
          </w:p>
        </w:tc>
        <w:tc>
          <w:tcPr>
            <w:tcW w:w="1764" w:type="dxa"/>
            <w:tcBorders>
              <w:top w:val="single" w:color="000000" w:sz="12" w:space="0"/>
              <w:left w:val="nil"/>
              <w:bottom w:val="single" w:color="000000" w:sz="8" w:space="0"/>
              <w:right w:val="single" w:color="000000" w:sz="12" w:space="0"/>
            </w:tcBorders>
            <w:shd w:val="clear" w:color="auto" w:fill="FFFFFF"/>
            <w:vAlign w:val="center"/>
          </w:tcPr>
          <w:p w14:paraId="19BB833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    计</w:t>
            </w:r>
          </w:p>
        </w:tc>
      </w:tr>
      <w:tr w14:paraId="57F2606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238512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3AB0CF0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直接费</w:t>
            </w:r>
          </w:p>
        </w:tc>
        <w:tc>
          <w:tcPr>
            <w:tcW w:w="1272" w:type="dxa"/>
            <w:tcBorders>
              <w:top w:val="nil"/>
              <w:left w:val="nil"/>
              <w:bottom w:val="single" w:color="000000" w:sz="8" w:space="0"/>
              <w:right w:val="single" w:color="000000" w:sz="8" w:space="0"/>
            </w:tcBorders>
            <w:shd w:val="clear" w:color="auto" w:fill="FFFFFF"/>
            <w:vAlign w:val="center"/>
          </w:tcPr>
          <w:p w14:paraId="6AE8191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291BDF3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6EAFD7D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64E5E7F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2219.53 </w:t>
            </w:r>
          </w:p>
        </w:tc>
      </w:tr>
      <w:tr w14:paraId="1F584BD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115705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1961AC5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直接工程费</w:t>
            </w:r>
          </w:p>
        </w:tc>
        <w:tc>
          <w:tcPr>
            <w:tcW w:w="1272" w:type="dxa"/>
            <w:tcBorders>
              <w:top w:val="nil"/>
              <w:left w:val="nil"/>
              <w:bottom w:val="single" w:color="000000" w:sz="8" w:space="0"/>
              <w:right w:val="single" w:color="000000" w:sz="8" w:space="0"/>
            </w:tcBorders>
            <w:shd w:val="clear" w:color="auto" w:fill="FFFFFF"/>
            <w:vAlign w:val="center"/>
          </w:tcPr>
          <w:p w14:paraId="66E16DE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6B63803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3C4653D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764FE3A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2113.84 </w:t>
            </w:r>
          </w:p>
        </w:tc>
      </w:tr>
      <w:tr w14:paraId="3EF48FD6">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C1D903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3D90224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人工费</w:t>
            </w:r>
          </w:p>
        </w:tc>
        <w:tc>
          <w:tcPr>
            <w:tcW w:w="1272" w:type="dxa"/>
            <w:tcBorders>
              <w:top w:val="nil"/>
              <w:left w:val="nil"/>
              <w:bottom w:val="single" w:color="000000" w:sz="8" w:space="0"/>
              <w:right w:val="single" w:color="000000" w:sz="8" w:space="0"/>
            </w:tcBorders>
            <w:shd w:val="clear" w:color="auto" w:fill="FFFFFF"/>
            <w:vAlign w:val="center"/>
          </w:tcPr>
          <w:p w14:paraId="2C814CA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7C2EEEA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010D299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1578A71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121.69 </w:t>
            </w:r>
          </w:p>
        </w:tc>
      </w:tr>
      <w:tr w14:paraId="31C31B4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383EEE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18FD2E3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甲类工</w:t>
            </w:r>
          </w:p>
        </w:tc>
        <w:tc>
          <w:tcPr>
            <w:tcW w:w="1272" w:type="dxa"/>
            <w:tcBorders>
              <w:top w:val="nil"/>
              <w:left w:val="nil"/>
              <w:bottom w:val="single" w:color="000000" w:sz="8" w:space="0"/>
              <w:right w:val="single" w:color="000000" w:sz="8" w:space="0"/>
            </w:tcBorders>
            <w:shd w:val="clear" w:color="auto" w:fill="FFFFFF"/>
            <w:vAlign w:val="center"/>
          </w:tcPr>
          <w:p w14:paraId="4E7E278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517025B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w:t>
            </w:r>
          </w:p>
        </w:tc>
        <w:tc>
          <w:tcPr>
            <w:tcW w:w="1170" w:type="dxa"/>
            <w:tcBorders>
              <w:top w:val="nil"/>
              <w:left w:val="nil"/>
              <w:bottom w:val="single" w:color="000000" w:sz="8" w:space="0"/>
              <w:right w:val="single" w:color="000000" w:sz="8" w:space="0"/>
            </w:tcBorders>
            <w:shd w:val="clear" w:color="auto" w:fill="auto"/>
            <w:vAlign w:val="center"/>
          </w:tcPr>
          <w:p w14:paraId="7114B7B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58.04 </w:t>
            </w:r>
          </w:p>
        </w:tc>
        <w:tc>
          <w:tcPr>
            <w:tcW w:w="1764" w:type="dxa"/>
            <w:tcBorders>
              <w:top w:val="nil"/>
              <w:left w:val="nil"/>
              <w:bottom w:val="single" w:color="000000" w:sz="8" w:space="0"/>
              <w:right w:val="single" w:color="000000" w:sz="12" w:space="0"/>
            </w:tcBorders>
            <w:shd w:val="clear" w:color="auto" w:fill="FFFFFF"/>
            <w:vAlign w:val="center"/>
          </w:tcPr>
          <w:p w14:paraId="5CF920F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5.80 </w:t>
            </w:r>
          </w:p>
        </w:tc>
      </w:tr>
      <w:tr w14:paraId="6E74D3B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7B7F33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04BFEAF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乙类工</w:t>
            </w:r>
          </w:p>
        </w:tc>
        <w:tc>
          <w:tcPr>
            <w:tcW w:w="1272" w:type="dxa"/>
            <w:tcBorders>
              <w:top w:val="nil"/>
              <w:left w:val="nil"/>
              <w:bottom w:val="single" w:color="000000" w:sz="8" w:space="0"/>
              <w:right w:val="single" w:color="000000" w:sz="8" w:space="0"/>
            </w:tcBorders>
            <w:shd w:val="clear" w:color="auto" w:fill="FFFFFF"/>
            <w:vAlign w:val="center"/>
          </w:tcPr>
          <w:p w14:paraId="79A3708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6FDC891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2.5</w:t>
            </w:r>
          </w:p>
        </w:tc>
        <w:tc>
          <w:tcPr>
            <w:tcW w:w="1170" w:type="dxa"/>
            <w:tcBorders>
              <w:top w:val="nil"/>
              <w:left w:val="nil"/>
              <w:bottom w:val="single" w:color="000000" w:sz="8" w:space="0"/>
              <w:right w:val="single" w:color="000000" w:sz="8" w:space="0"/>
            </w:tcBorders>
            <w:shd w:val="clear" w:color="auto" w:fill="auto"/>
            <w:vAlign w:val="center"/>
          </w:tcPr>
          <w:p w14:paraId="719BB6E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45.03 </w:t>
            </w:r>
          </w:p>
        </w:tc>
        <w:tc>
          <w:tcPr>
            <w:tcW w:w="1764" w:type="dxa"/>
            <w:tcBorders>
              <w:top w:val="nil"/>
              <w:left w:val="nil"/>
              <w:bottom w:val="single" w:color="000000" w:sz="8" w:space="0"/>
              <w:right w:val="single" w:color="000000" w:sz="12" w:space="0"/>
            </w:tcBorders>
            <w:shd w:val="clear" w:color="auto" w:fill="FFFFFF"/>
            <w:vAlign w:val="center"/>
          </w:tcPr>
          <w:p w14:paraId="43E4D5A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112.58 </w:t>
            </w:r>
          </w:p>
        </w:tc>
      </w:tr>
      <w:tr w14:paraId="4207DB03">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407CB7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720B1DC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其他人工费</w:t>
            </w:r>
          </w:p>
        </w:tc>
        <w:tc>
          <w:tcPr>
            <w:tcW w:w="1272" w:type="dxa"/>
            <w:tcBorders>
              <w:top w:val="nil"/>
              <w:left w:val="nil"/>
              <w:bottom w:val="single" w:color="000000" w:sz="8" w:space="0"/>
              <w:right w:val="single" w:color="000000" w:sz="8" w:space="0"/>
            </w:tcBorders>
            <w:shd w:val="clear" w:color="auto" w:fill="FFFFFF"/>
            <w:vAlign w:val="center"/>
          </w:tcPr>
          <w:p w14:paraId="31F9A1C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73FEA3D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2.8</w:t>
            </w:r>
          </w:p>
        </w:tc>
        <w:tc>
          <w:tcPr>
            <w:tcW w:w="1170" w:type="dxa"/>
            <w:tcBorders>
              <w:top w:val="nil"/>
              <w:left w:val="nil"/>
              <w:bottom w:val="single" w:color="000000" w:sz="8" w:space="0"/>
              <w:right w:val="single" w:color="000000" w:sz="8" w:space="0"/>
            </w:tcBorders>
            <w:shd w:val="clear" w:color="auto" w:fill="FFFFFF"/>
            <w:vAlign w:val="center"/>
          </w:tcPr>
          <w:p w14:paraId="24EA37A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118.38 </w:t>
            </w:r>
          </w:p>
        </w:tc>
        <w:tc>
          <w:tcPr>
            <w:tcW w:w="1764" w:type="dxa"/>
            <w:tcBorders>
              <w:top w:val="nil"/>
              <w:left w:val="nil"/>
              <w:bottom w:val="single" w:color="000000" w:sz="8" w:space="0"/>
              <w:right w:val="single" w:color="000000" w:sz="12" w:space="0"/>
            </w:tcBorders>
            <w:shd w:val="clear" w:color="auto" w:fill="FFFFFF"/>
            <w:vAlign w:val="center"/>
          </w:tcPr>
          <w:p w14:paraId="27B3361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3.31 </w:t>
            </w:r>
          </w:p>
        </w:tc>
      </w:tr>
      <w:tr w14:paraId="318B2141">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3BDEBD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1DE5EF3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机械费</w:t>
            </w:r>
          </w:p>
        </w:tc>
        <w:tc>
          <w:tcPr>
            <w:tcW w:w="1272" w:type="dxa"/>
            <w:tcBorders>
              <w:top w:val="nil"/>
              <w:left w:val="nil"/>
              <w:bottom w:val="single" w:color="000000" w:sz="8" w:space="0"/>
              <w:right w:val="single" w:color="000000" w:sz="8" w:space="0"/>
            </w:tcBorders>
            <w:shd w:val="clear" w:color="auto" w:fill="FFFFFF"/>
            <w:vAlign w:val="center"/>
          </w:tcPr>
          <w:p w14:paraId="142021E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70B43F1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3BE43F0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7ADD872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1992.14 </w:t>
            </w:r>
          </w:p>
        </w:tc>
      </w:tr>
      <w:tr w14:paraId="2EF29AA9">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C747D9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0CBA4DA9">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挖掘机油动 1</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272" w:type="dxa"/>
            <w:tcBorders>
              <w:top w:val="nil"/>
              <w:left w:val="nil"/>
              <w:bottom w:val="single" w:color="000000" w:sz="8" w:space="0"/>
              <w:right w:val="single" w:color="000000" w:sz="8" w:space="0"/>
            </w:tcBorders>
            <w:shd w:val="clear" w:color="auto" w:fill="FFFFFF"/>
            <w:vAlign w:val="center"/>
          </w:tcPr>
          <w:p w14:paraId="0D7C94B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bottom"/>
          </w:tcPr>
          <w:p w14:paraId="16A356B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0.87</w:t>
            </w:r>
          </w:p>
        </w:tc>
        <w:tc>
          <w:tcPr>
            <w:tcW w:w="1170" w:type="dxa"/>
            <w:tcBorders>
              <w:top w:val="nil"/>
              <w:left w:val="nil"/>
              <w:bottom w:val="single" w:color="000000" w:sz="8" w:space="0"/>
              <w:right w:val="single" w:color="000000" w:sz="8" w:space="0"/>
            </w:tcBorders>
            <w:shd w:val="clear" w:color="auto" w:fill="FFFFFF"/>
            <w:vAlign w:val="center"/>
          </w:tcPr>
          <w:p w14:paraId="160F277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776.49 </w:t>
            </w:r>
          </w:p>
        </w:tc>
        <w:tc>
          <w:tcPr>
            <w:tcW w:w="1764" w:type="dxa"/>
            <w:tcBorders>
              <w:top w:val="nil"/>
              <w:left w:val="nil"/>
              <w:bottom w:val="single" w:color="000000" w:sz="8" w:space="0"/>
              <w:right w:val="single" w:color="000000" w:sz="12" w:space="0"/>
            </w:tcBorders>
            <w:shd w:val="clear" w:color="auto" w:fill="FFFFFF"/>
            <w:vAlign w:val="center"/>
          </w:tcPr>
          <w:p w14:paraId="73F6C67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675.55 </w:t>
            </w:r>
          </w:p>
        </w:tc>
      </w:tr>
      <w:tr w14:paraId="21B056E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E2CC5C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4791EBC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推土机 59kw</w:t>
            </w:r>
          </w:p>
        </w:tc>
        <w:tc>
          <w:tcPr>
            <w:tcW w:w="1272" w:type="dxa"/>
            <w:tcBorders>
              <w:top w:val="nil"/>
              <w:left w:val="nil"/>
              <w:bottom w:val="single" w:color="000000" w:sz="8" w:space="0"/>
              <w:right w:val="single" w:color="000000" w:sz="8" w:space="0"/>
            </w:tcBorders>
            <w:shd w:val="clear" w:color="auto" w:fill="FFFFFF"/>
            <w:vAlign w:val="center"/>
          </w:tcPr>
          <w:p w14:paraId="25B063F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bottom"/>
          </w:tcPr>
          <w:p w14:paraId="29BBB6A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0.4</w:t>
            </w:r>
          </w:p>
        </w:tc>
        <w:tc>
          <w:tcPr>
            <w:tcW w:w="1170" w:type="dxa"/>
            <w:tcBorders>
              <w:top w:val="nil"/>
              <w:left w:val="nil"/>
              <w:bottom w:val="single" w:color="000000" w:sz="8" w:space="0"/>
              <w:right w:val="single" w:color="000000" w:sz="8" w:space="0"/>
            </w:tcBorders>
            <w:shd w:val="clear" w:color="auto" w:fill="FFFFFF"/>
            <w:vAlign w:val="center"/>
          </w:tcPr>
          <w:p w14:paraId="3C6AF92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389.54 </w:t>
            </w:r>
          </w:p>
        </w:tc>
        <w:tc>
          <w:tcPr>
            <w:tcW w:w="1764" w:type="dxa"/>
            <w:tcBorders>
              <w:top w:val="nil"/>
              <w:left w:val="nil"/>
              <w:bottom w:val="single" w:color="000000" w:sz="8" w:space="0"/>
              <w:right w:val="single" w:color="000000" w:sz="12" w:space="0"/>
            </w:tcBorders>
            <w:shd w:val="clear" w:color="auto" w:fill="FFFFFF"/>
            <w:vAlign w:val="center"/>
          </w:tcPr>
          <w:p w14:paraId="22E00DF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155.82 </w:t>
            </w:r>
          </w:p>
        </w:tc>
      </w:tr>
      <w:tr w14:paraId="0CA297A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1E96C9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6FE15E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自卸汽车8t</w:t>
            </w:r>
          </w:p>
        </w:tc>
        <w:tc>
          <w:tcPr>
            <w:tcW w:w="1272" w:type="dxa"/>
            <w:tcBorders>
              <w:top w:val="nil"/>
              <w:left w:val="nil"/>
              <w:bottom w:val="single" w:color="000000" w:sz="8" w:space="0"/>
              <w:right w:val="single" w:color="000000" w:sz="8" w:space="0"/>
            </w:tcBorders>
            <w:shd w:val="clear" w:color="auto" w:fill="FFFFFF"/>
            <w:vAlign w:val="center"/>
          </w:tcPr>
          <w:p w14:paraId="0829B89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bottom"/>
          </w:tcPr>
          <w:p w14:paraId="0FE820D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2.07</w:t>
            </w:r>
          </w:p>
        </w:tc>
        <w:tc>
          <w:tcPr>
            <w:tcW w:w="1170" w:type="dxa"/>
            <w:tcBorders>
              <w:top w:val="nil"/>
              <w:left w:val="nil"/>
              <w:bottom w:val="single" w:color="000000" w:sz="8" w:space="0"/>
              <w:right w:val="single" w:color="000000" w:sz="8" w:space="0"/>
            </w:tcBorders>
            <w:shd w:val="clear" w:color="auto" w:fill="FFFFFF"/>
            <w:vAlign w:val="center"/>
          </w:tcPr>
          <w:p w14:paraId="6170BE7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534.55 </w:t>
            </w:r>
          </w:p>
        </w:tc>
        <w:tc>
          <w:tcPr>
            <w:tcW w:w="1764" w:type="dxa"/>
            <w:tcBorders>
              <w:top w:val="nil"/>
              <w:left w:val="nil"/>
              <w:bottom w:val="single" w:color="000000" w:sz="8" w:space="0"/>
              <w:right w:val="single" w:color="000000" w:sz="12" w:space="0"/>
            </w:tcBorders>
            <w:shd w:val="clear" w:color="auto" w:fill="FFFFFF"/>
            <w:vAlign w:val="center"/>
          </w:tcPr>
          <w:p w14:paraId="29CCB39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1106.52 </w:t>
            </w:r>
          </w:p>
        </w:tc>
      </w:tr>
      <w:tr w14:paraId="7C7B373F">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9F4BB5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2530" w:type="dxa"/>
            <w:tcBorders>
              <w:top w:val="nil"/>
              <w:left w:val="nil"/>
              <w:bottom w:val="single" w:color="000000" w:sz="8" w:space="0"/>
              <w:right w:val="single" w:color="000000" w:sz="8" w:space="0"/>
            </w:tcBorders>
            <w:shd w:val="clear" w:color="auto" w:fill="FFFFFF"/>
            <w:vAlign w:val="center"/>
          </w:tcPr>
          <w:p w14:paraId="0DE44A4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其他机械费</w:t>
            </w:r>
          </w:p>
        </w:tc>
        <w:tc>
          <w:tcPr>
            <w:tcW w:w="1272" w:type="dxa"/>
            <w:tcBorders>
              <w:top w:val="nil"/>
              <w:left w:val="nil"/>
              <w:bottom w:val="single" w:color="000000" w:sz="8" w:space="0"/>
              <w:right w:val="single" w:color="000000" w:sz="8" w:space="0"/>
            </w:tcBorders>
            <w:shd w:val="clear" w:color="auto" w:fill="FFFFFF"/>
            <w:vAlign w:val="center"/>
          </w:tcPr>
          <w:p w14:paraId="241C791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0E25646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2.8</w:t>
            </w:r>
          </w:p>
        </w:tc>
        <w:tc>
          <w:tcPr>
            <w:tcW w:w="1170" w:type="dxa"/>
            <w:tcBorders>
              <w:top w:val="nil"/>
              <w:left w:val="nil"/>
              <w:bottom w:val="single" w:color="000000" w:sz="8" w:space="0"/>
              <w:right w:val="single" w:color="000000" w:sz="8" w:space="0"/>
            </w:tcBorders>
            <w:shd w:val="clear" w:color="auto" w:fill="FFFFFF"/>
            <w:vAlign w:val="center"/>
          </w:tcPr>
          <w:p w14:paraId="036EC27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1937.88 </w:t>
            </w:r>
          </w:p>
        </w:tc>
        <w:tc>
          <w:tcPr>
            <w:tcW w:w="1764" w:type="dxa"/>
            <w:tcBorders>
              <w:top w:val="nil"/>
              <w:left w:val="nil"/>
              <w:bottom w:val="single" w:color="000000" w:sz="8" w:space="0"/>
              <w:right w:val="single" w:color="000000" w:sz="12" w:space="0"/>
            </w:tcBorders>
            <w:shd w:val="clear" w:color="auto" w:fill="FFFFFF"/>
            <w:vAlign w:val="center"/>
          </w:tcPr>
          <w:p w14:paraId="41359E9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54.26 </w:t>
            </w:r>
          </w:p>
        </w:tc>
      </w:tr>
      <w:tr w14:paraId="72BE8183">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86A1B7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6B085B8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措施费</w:t>
            </w:r>
          </w:p>
        </w:tc>
        <w:tc>
          <w:tcPr>
            <w:tcW w:w="1272" w:type="dxa"/>
            <w:tcBorders>
              <w:top w:val="nil"/>
              <w:left w:val="nil"/>
              <w:bottom w:val="single" w:color="000000" w:sz="8" w:space="0"/>
              <w:right w:val="single" w:color="000000" w:sz="8" w:space="0"/>
            </w:tcBorders>
            <w:shd w:val="clear" w:color="auto" w:fill="FFFFFF"/>
            <w:vAlign w:val="center"/>
          </w:tcPr>
          <w:p w14:paraId="3A89A8B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5A62501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7FF8826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2113.84 </w:t>
            </w:r>
          </w:p>
        </w:tc>
        <w:tc>
          <w:tcPr>
            <w:tcW w:w="1764" w:type="dxa"/>
            <w:tcBorders>
              <w:top w:val="nil"/>
              <w:left w:val="nil"/>
              <w:bottom w:val="single" w:color="000000" w:sz="8" w:space="0"/>
              <w:right w:val="single" w:color="000000" w:sz="12" w:space="0"/>
            </w:tcBorders>
            <w:shd w:val="clear" w:color="auto" w:fill="FFFFFF"/>
            <w:vAlign w:val="center"/>
          </w:tcPr>
          <w:p w14:paraId="1044B10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105.69 </w:t>
            </w:r>
          </w:p>
        </w:tc>
      </w:tr>
      <w:tr w14:paraId="6E8ED27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7C4A78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4192C59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间接费</w:t>
            </w:r>
          </w:p>
        </w:tc>
        <w:tc>
          <w:tcPr>
            <w:tcW w:w="1272" w:type="dxa"/>
            <w:tcBorders>
              <w:top w:val="nil"/>
              <w:left w:val="nil"/>
              <w:bottom w:val="single" w:color="000000" w:sz="8" w:space="0"/>
              <w:right w:val="single" w:color="000000" w:sz="8" w:space="0"/>
            </w:tcBorders>
            <w:shd w:val="clear" w:color="auto" w:fill="FFFFFF"/>
            <w:vAlign w:val="center"/>
          </w:tcPr>
          <w:p w14:paraId="016336C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49D22E2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75B4F29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2219.53 </w:t>
            </w:r>
          </w:p>
        </w:tc>
        <w:tc>
          <w:tcPr>
            <w:tcW w:w="1764" w:type="dxa"/>
            <w:tcBorders>
              <w:top w:val="nil"/>
              <w:left w:val="nil"/>
              <w:bottom w:val="single" w:color="000000" w:sz="8" w:space="0"/>
              <w:right w:val="single" w:color="000000" w:sz="12" w:space="0"/>
            </w:tcBorders>
            <w:shd w:val="clear" w:color="auto" w:fill="FFFFFF"/>
            <w:vAlign w:val="center"/>
          </w:tcPr>
          <w:p w14:paraId="1BB24BE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110.98 </w:t>
            </w:r>
          </w:p>
        </w:tc>
      </w:tr>
      <w:tr w14:paraId="5D0205B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B5B534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w:t>
            </w:r>
          </w:p>
        </w:tc>
        <w:tc>
          <w:tcPr>
            <w:tcW w:w="2530" w:type="dxa"/>
            <w:tcBorders>
              <w:top w:val="nil"/>
              <w:left w:val="nil"/>
              <w:bottom w:val="single" w:color="000000" w:sz="8" w:space="0"/>
              <w:right w:val="single" w:color="000000" w:sz="8" w:space="0"/>
            </w:tcBorders>
            <w:shd w:val="clear" w:color="auto" w:fill="FFFFFF"/>
            <w:vAlign w:val="center"/>
          </w:tcPr>
          <w:p w14:paraId="3B9FADE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利润</w:t>
            </w:r>
          </w:p>
        </w:tc>
        <w:tc>
          <w:tcPr>
            <w:tcW w:w="1272" w:type="dxa"/>
            <w:tcBorders>
              <w:top w:val="nil"/>
              <w:left w:val="nil"/>
              <w:bottom w:val="single" w:color="000000" w:sz="8" w:space="0"/>
              <w:right w:val="single" w:color="000000" w:sz="8" w:space="0"/>
            </w:tcBorders>
            <w:shd w:val="clear" w:color="auto" w:fill="FFFFFF"/>
            <w:vAlign w:val="center"/>
          </w:tcPr>
          <w:p w14:paraId="5C3E164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7885C56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w:t>
            </w:r>
          </w:p>
        </w:tc>
        <w:tc>
          <w:tcPr>
            <w:tcW w:w="1170" w:type="dxa"/>
            <w:tcBorders>
              <w:top w:val="nil"/>
              <w:left w:val="nil"/>
              <w:bottom w:val="single" w:color="000000" w:sz="8" w:space="0"/>
              <w:right w:val="single" w:color="000000" w:sz="8" w:space="0"/>
            </w:tcBorders>
            <w:shd w:val="clear" w:color="auto" w:fill="FFFFFF"/>
            <w:vAlign w:val="center"/>
          </w:tcPr>
          <w:p w14:paraId="6CA82CB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2330.50 </w:t>
            </w:r>
          </w:p>
        </w:tc>
        <w:tc>
          <w:tcPr>
            <w:tcW w:w="1764" w:type="dxa"/>
            <w:tcBorders>
              <w:top w:val="nil"/>
              <w:left w:val="nil"/>
              <w:bottom w:val="single" w:color="000000" w:sz="8" w:space="0"/>
              <w:right w:val="single" w:color="000000" w:sz="12" w:space="0"/>
            </w:tcBorders>
            <w:shd w:val="clear" w:color="auto" w:fill="FFFFFF"/>
            <w:vAlign w:val="center"/>
          </w:tcPr>
          <w:p w14:paraId="00E3216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163.14 </w:t>
            </w:r>
          </w:p>
        </w:tc>
      </w:tr>
      <w:tr w14:paraId="6F2ED2EA">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047E0B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四</w:t>
            </w:r>
          </w:p>
        </w:tc>
        <w:tc>
          <w:tcPr>
            <w:tcW w:w="2530" w:type="dxa"/>
            <w:tcBorders>
              <w:top w:val="nil"/>
              <w:left w:val="nil"/>
              <w:bottom w:val="single" w:color="000000" w:sz="8" w:space="0"/>
              <w:right w:val="single" w:color="000000" w:sz="8" w:space="0"/>
            </w:tcBorders>
            <w:shd w:val="clear" w:color="auto" w:fill="FFFFFF"/>
            <w:vAlign w:val="center"/>
          </w:tcPr>
          <w:p w14:paraId="744D632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材料价差</w:t>
            </w:r>
          </w:p>
        </w:tc>
        <w:tc>
          <w:tcPr>
            <w:tcW w:w="1272" w:type="dxa"/>
            <w:tcBorders>
              <w:top w:val="nil"/>
              <w:left w:val="nil"/>
              <w:bottom w:val="single" w:color="000000" w:sz="8" w:space="0"/>
              <w:right w:val="single" w:color="000000" w:sz="8" w:space="0"/>
            </w:tcBorders>
            <w:shd w:val="clear" w:color="auto" w:fill="FFFFFF"/>
            <w:vAlign w:val="center"/>
          </w:tcPr>
          <w:p w14:paraId="14B87D1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6BA47D6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226F9CF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0D493EA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576.97 </w:t>
            </w:r>
          </w:p>
        </w:tc>
      </w:tr>
      <w:tr w14:paraId="57BA286E">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8427AB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53B088B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柴油</w:t>
            </w:r>
          </w:p>
        </w:tc>
        <w:tc>
          <w:tcPr>
            <w:tcW w:w="1272" w:type="dxa"/>
            <w:tcBorders>
              <w:top w:val="nil"/>
              <w:left w:val="nil"/>
              <w:bottom w:val="single" w:color="000000" w:sz="8" w:space="0"/>
              <w:right w:val="single" w:color="000000" w:sz="8" w:space="0"/>
            </w:tcBorders>
            <w:shd w:val="clear" w:color="auto" w:fill="FFFFFF"/>
            <w:vAlign w:val="center"/>
          </w:tcPr>
          <w:p w14:paraId="74BB835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kg</w:t>
            </w:r>
          </w:p>
        </w:tc>
        <w:tc>
          <w:tcPr>
            <w:tcW w:w="1164" w:type="dxa"/>
            <w:tcBorders>
              <w:top w:val="nil"/>
              <w:left w:val="nil"/>
              <w:bottom w:val="single" w:color="000000" w:sz="8" w:space="0"/>
              <w:right w:val="single" w:color="000000" w:sz="8" w:space="0"/>
            </w:tcBorders>
            <w:shd w:val="clear" w:color="auto" w:fill="FFFFFF"/>
            <w:vAlign w:val="center"/>
          </w:tcPr>
          <w:p w14:paraId="2EA7782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177.53</w:t>
            </w:r>
          </w:p>
        </w:tc>
        <w:tc>
          <w:tcPr>
            <w:tcW w:w="1170" w:type="dxa"/>
            <w:tcBorders>
              <w:top w:val="nil"/>
              <w:left w:val="nil"/>
              <w:bottom w:val="single" w:color="000000" w:sz="8" w:space="0"/>
              <w:right w:val="single" w:color="000000" w:sz="8" w:space="0"/>
            </w:tcBorders>
            <w:shd w:val="clear" w:color="auto" w:fill="FFFFFF"/>
            <w:vAlign w:val="center"/>
          </w:tcPr>
          <w:p w14:paraId="5D81C0B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3.25 </w:t>
            </w:r>
          </w:p>
        </w:tc>
        <w:tc>
          <w:tcPr>
            <w:tcW w:w="1764" w:type="dxa"/>
            <w:tcBorders>
              <w:top w:val="nil"/>
              <w:left w:val="nil"/>
              <w:bottom w:val="single" w:color="000000" w:sz="8" w:space="0"/>
              <w:right w:val="single" w:color="000000" w:sz="12" w:space="0"/>
            </w:tcBorders>
            <w:shd w:val="clear" w:color="auto" w:fill="FFFFFF"/>
            <w:vAlign w:val="center"/>
          </w:tcPr>
          <w:p w14:paraId="56F6082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576.97 </w:t>
            </w:r>
          </w:p>
        </w:tc>
      </w:tr>
      <w:tr w14:paraId="53C61886">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7ACCEB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五</w:t>
            </w:r>
          </w:p>
        </w:tc>
        <w:tc>
          <w:tcPr>
            <w:tcW w:w="2530" w:type="dxa"/>
            <w:tcBorders>
              <w:top w:val="nil"/>
              <w:left w:val="nil"/>
              <w:bottom w:val="single" w:color="000000" w:sz="8" w:space="0"/>
              <w:right w:val="single" w:color="000000" w:sz="8" w:space="0"/>
            </w:tcBorders>
            <w:shd w:val="clear" w:color="auto" w:fill="FFFFFF"/>
            <w:vAlign w:val="center"/>
          </w:tcPr>
          <w:p w14:paraId="71CAABD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未计价材料费</w:t>
            </w:r>
          </w:p>
        </w:tc>
        <w:tc>
          <w:tcPr>
            <w:tcW w:w="1272" w:type="dxa"/>
            <w:tcBorders>
              <w:top w:val="nil"/>
              <w:left w:val="nil"/>
              <w:bottom w:val="single" w:color="000000" w:sz="8" w:space="0"/>
              <w:right w:val="single" w:color="000000" w:sz="8" w:space="0"/>
            </w:tcBorders>
            <w:shd w:val="clear" w:color="auto" w:fill="FFFFFF"/>
            <w:vAlign w:val="center"/>
          </w:tcPr>
          <w:p w14:paraId="3F5718C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5271595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0A1F2B2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2D7E19F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276.35 </w:t>
            </w:r>
          </w:p>
        </w:tc>
      </w:tr>
      <w:tr w14:paraId="7E388D27">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3DDCB6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六</w:t>
            </w:r>
          </w:p>
        </w:tc>
        <w:tc>
          <w:tcPr>
            <w:tcW w:w="2530" w:type="dxa"/>
            <w:tcBorders>
              <w:top w:val="nil"/>
              <w:left w:val="nil"/>
              <w:bottom w:val="single" w:color="000000" w:sz="8" w:space="0"/>
              <w:right w:val="single" w:color="000000" w:sz="8" w:space="0"/>
            </w:tcBorders>
            <w:shd w:val="clear" w:color="auto" w:fill="FFFFFF"/>
            <w:vAlign w:val="center"/>
          </w:tcPr>
          <w:p w14:paraId="55E17DF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税金</w:t>
            </w:r>
          </w:p>
        </w:tc>
        <w:tc>
          <w:tcPr>
            <w:tcW w:w="1272" w:type="dxa"/>
            <w:tcBorders>
              <w:top w:val="nil"/>
              <w:left w:val="nil"/>
              <w:bottom w:val="single" w:color="000000" w:sz="8" w:space="0"/>
              <w:right w:val="single" w:color="000000" w:sz="8" w:space="0"/>
            </w:tcBorders>
            <w:shd w:val="clear" w:color="auto" w:fill="FFFFFF"/>
            <w:vAlign w:val="center"/>
          </w:tcPr>
          <w:p w14:paraId="64137E9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bottom"/>
          </w:tcPr>
          <w:p w14:paraId="42D5AF6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w:t>
            </w:r>
          </w:p>
        </w:tc>
        <w:tc>
          <w:tcPr>
            <w:tcW w:w="1170" w:type="dxa"/>
            <w:tcBorders>
              <w:top w:val="nil"/>
              <w:left w:val="nil"/>
              <w:bottom w:val="single" w:color="000000" w:sz="8" w:space="0"/>
              <w:right w:val="single" w:color="000000" w:sz="8" w:space="0"/>
            </w:tcBorders>
            <w:shd w:val="clear" w:color="auto" w:fill="FFFFFF"/>
            <w:vAlign w:val="bottom"/>
          </w:tcPr>
          <w:p w14:paraId="5F7B5AC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3070.61 </w:t>
            </w:r>
          </w:p>
        </w:tc>
        <w:tc>
          <w:tcPr>
            <w:tcW w:w="1764" w:type="dxa"/>
            <w:tcBorders>
              <w:top w:val="nil"/>
              <w:left w:val="nil"/>
              <w:bottom w:val="single" w:color="000000" w:sz="8" w:space="0"/>
              <w:right w:val="single" w:color="000000" w:sz="12" w:space="0"/>
            </w:tcBorders>
            <w:shd w:val="clear" w:color="auto" w:fill="FFFFFF"/>
            <w:vAlign w:val="center"/>
          </w:tcPr>
          <w:p w14:paraId="0A59486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276.35 </w:t>
            </w:r>
          </w:p>
        </w:tc>
      </w:tr>
      <w:tr w14:paraId="37B1FD42">
        <w:tblPrEx>
          <w:tblCellMar>
            <w:top w:w="11" w:type="dxa"/>
            <w:left w:w="11" w:type="dxa"/>
            <w:bottom w:w="11" w:type="dxa"/>
            <w:right w:w="11" w:type="dxa"/>
          </w:tblCellMar>
        </w:tblPrEx>
        <w:trPr>
          <w:trHeight w:val="20" w:hRule="atLeast"/>
          <w:jc w:val="center"/>
        </w:trPr>
        <w:tc>
          <w:tcPr>
            <w:tcW w:w="1200" w:type="dxa"/>
            <w:tcBorders>
              <w:top w:val="single" w:color="000000" w:sz="8" w:space="0"/>
              <w:left w:val="single" w:color="000000" w:sz="12" w:space="0"/>
              <w:bottom w:val="single" w:color="000000" w:sz="12" w:space="0"/>
              <w:right w:val="single" w:color="auto" w:sz="4" w:space="0"/>
            </w:tcBorders>
            <w:shd w:val="clear" w:color="auto" w:fill="FFFFFF"/>
            <w:vAlign w:val="center"/>
          </w:tcPr>
          <w:p w14:paraId="25503FE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2530" w:type="dxa"/>
            <w:tcBorders>
              <w:top w:val="single" w:color="000000" w:sz="8" w:space="0"/>
              <w:left w:val="single" w:color="auto" w:sz="4" w:space="0"/>
              <w:bottom w:val="single" w:color="000000" w:sz="12" w:space="0"/>
              <w:right w:val="single" w:color="000000" w:sz="8" w:space="0"/>
            </w:tcBorders>
            <w:shd w:val="clear" w:color="auto" w:fill="FFFFFF"/>
            <w:vAlign w:val="center"/>
          </w:tcPr>
          <w:p w14:paraId="2B9C4523">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2" w:type="dxa"/>
            <w:tcBorders>
              <w:top w:val="nil"/>
              <w:left w:val="nil"/>
              <w:bottom w:val="single" w:color="000000" w:sz="12" w:space="0"/>
              <w:right w:val="single" w:color="000000" w:sz="8" w:space="0"/>
            </w:tcBorders>
            <w:shd w:val="clear" w:color="auto" w:fill="FFFFFF"/>
            <w:vAlign w:val="center"/>
          </w:tcPr>
          <w:p w14:paraId="1E70057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64" w:type="dxa"/>
            <w:tcBorders>
              <w:top w:val="nil"/>
              <w:left w:val="nil"/>
              <w:bottom w:val="single" w:color="000000" w:sz="12" w:space="0"/>
              <w:right w:val="single" w:color="000000" w:sz="8" w:space="0"/>
            </w:tcBorders>
            <w:shd w:val="clear" w:color="auto" w:fill="FFFFFF"/>
            <w:vAlign w:val="center"/>
          </w:tcPr>
          <w:p w14:paraId="1174907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70" w:type="dxa"/>
            <w:tcBorders>
              <w:top w:val="nil"/>
              <w:left w:val="nil"/>
              <w:bottom w:val="single" w:color="000000" w:sz="12" w:space="0"/>
              <w:right w:val="single" w:color="000000" w:sz="8" w:space="0"/>
            </w:tcBorders>
            <w:shd w:val="clear" w:color="auto" w:fill="FFFFFF"/>
            <w:vAlign w:val="center"/>
          </w:tcPr>
          <w:p w14:paraId="780B6F59">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764" w:type="dxa"/>
            <w:tcBorders>
              <w:top w:val="nil"/>
              <w:left w:val="nil"/>
              <w:bottom w:val="single" w:color="000000" w:sz="12" w:space="0"/>
              <w:right w:val="single" w:color="000000" w:sz="12" w:space="0"/>
            </w:tcBorders>
            <w:shd w:val="clear" w:color="auto" w:fill="FFFFFF"/>
            <w:vAlign w:val="center"/>
          </w:tcPr>
          <w:p w14:paraId="3AE8DD2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3346.97</w:t>
            </w:r>
          </w:p>
        </w:tc>
      </w:tr>
    </w:tbl>
    <w:p w14:paraId="3DEB3F70">
      <w:pPr>
        <w:spacing w:before="34"/>
        <w:ind w:right="2"/>
        <w:jc w:val="center"/>
        <w:rPr>
          <w:rFonts w:ascii="Times New Roman" w:hAnsi="Times New Roman" w:cs="Times New Roman"/>
          <w:color w:val="000000" w:themeColor="text1"/>
        </w:rPr>
      </w:pPr>
    </w:p>
    <w:p w14:paraId="66A707B2">
      <w:pPr>
        <w:spacing w:before="34"/>
        <w:ind w:right="2"/>
        <w:jc w:val="center"/>
        <w:rPr>
          <w:rFonts w:ascii="Times New Roman" w:hAnsi="Times New Roman" w:cs="Times New Roman"/>
          <w:color w:val="000000" w:themeColor="text1"/>
        </w:rPr>
      </w:pPr>
    </w:p>
    <w:p w14:paraId="6822BAB6">
      <w:pPr>
        <w:spacing w:before="34"/>
        <w:ind w:right="2"/>
        <w:jc w:val="center"/>
        <w:rPr>
          <w:rFonts w:ascii="Times New Roman" w:hAnsi="Times New Roman" w:cs="Times New Roman"/>
          <w:color w:val="000000" w:themeColor="text1"/>
        </w:rPr>
      </w:pPr>
    </w:p>
    <w:p w14:paraId="4B99BFB7">
      <w:pPr>
        <w:spacing w:before="34"/>
        <w:ind w:right="2"/>
        <w:jc w:val="center"/>
        <w:rPr>
          <w:rFonts w:ascii="Times New Roman" w:hAnsi="Times New Roman" w:cs="Times New Roman"/>
          <w:color w:val="000000" w:themeColor="text1"/>
        </w:rPr>
      </w:pPr>
    </w:p>
    <w:p w14:paraId="1004ED61">
      <w:pPr>
        <w:spacing w:before="34"/>
        <w:ind w:right="2"/>
        <w:jc w:val="center"/>
        <w:rPr>
          <w:rFonts w:ascii="Times New Roman" w:hAnsi="Times New Roman" w:cs="Times New Roman"/>
          <w:color w:val="000000" w:themeColor="text1"/>
        </w:rPr>
      </w:pPr>
    </w:p>
    <w:p w14:paraId="47C499C9">
      <w:pPr>
        <w:spacing w:before="34"/>
        <w:ind w:right="2"/>
        <w:jc w:val="center"/>
        <w:rPr>
          <w:rFonts w:ascii="Times New Roman" w:hAnsi="Times New Roman" w:cs="Times New Roman"/>
          <w:color w:val="000000" w:themeColor="text1"/>
        </w:rPr>
      </w:pPr>
    </w:p>
    <w:p w14:paraId="39801CD9">
      <w:pPr>
        <w:spacing w:before="34"/>
        <w:ind w:right="2"/>
        <w:jc w:val="center"/>
        <w:rPr>
          <w:rFonts w:ascii="Times New Roman" w:hAnsi="Times New Roman" w:cs="Times New Roman"/>
          <w:color w:val="000000" w:themeColor="text1"/>
        </w:rPr>
      </w:pPr>
    </w:p>
    <w:p w14:paraId="1AF30BCB">
      <w:pPr>
        <w:spacing w:before="34"/>
        <w:ind w:right="2"/>
        <w:jc w:val="center"/>
        <w:rPr>
          <w:rFonts w:ascii="Times New Roman" w:hAnsi="Times New Roman" w:cs="Times New Roman"/>
          <w:color w:val="000000" w:themeColor="text1"/>
        </w:rPr>
      </w:pPr>
    </w:p>
    <w:p w14:paraId="06CF418B">
      <w:pPr>
        <w:spacing w:before="34"/>
        <w:ind w:right="2"/>
        <w:jc w:val="center"/>
        <w:rPr>
          <w:rFonts w:ascii="Times New Roman" w:hAnsi="Times New Roman" w:cs="Times New Roman"/>
          <w:color w:val="000000" w:themeColor="text1"/>
        </w:rPr>
      </w:pPr>
    </w:p>
    <w:p w14:paraId="2189C0E0">
      <w:pPr>
        <w:spacing w:before="34"/>
        <w:ind w:right="2"/>
        <w:jc w:val="center"/>
        <w:rPr>
          <w:rFonts w:ascii="Times New Roman" w:hAnsi="Times New Roman" w:cs="Times New Roman"/>
          <w:color w:val="000000" w:themeColor="text1"/>
        </w:rPr>
      </w:pPr>
    </w:p>
    <w:p w14:paraId="38459FC8">
      <w:pPr>
        <w:spacing w:before="34"/>
        <w:ind w:right="2"/>
        <w:jc w:val="center"/>
        <w:rPr>
          <w:rFonts w:ascii="Times New Roman" w:hAnsi="Times New Roman" w:cs="Times New Roman"/>
          <w:color w:val="000000" w:themeColor="text1"/>
        </w:rPr>
      </w:pPr>
    </w:p>
    <w:p w14:paraId="31D778B1">
      <w:pPr>
        <w:spacing w:before="34"/>
        <w:ind w:right="2"/>
        <w:jc w:val="center"/>
        <w:rPr>
          <w:rFonts w:ascii="Times New Roman" w:hAnsi="Times New Roman" w:cs="Times New Roman"/>
          <w:color w:val="000000" w:themeColor="text1"/>
        </w:rPr>
      </w:pPr>
    </w:p>
    <w:p w14:paraId="6F529BC1">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表6-1</w:t>
      </w:r>
      <w:r>
        <w:rPr>
          <w:rFonts w:hint="eastAsia" w:ascii="Times New Roman" w:hAnsi="Times New Roman" w:cs="Times New Roman"/>
          <w:b/>
          <w:color w:val="000000" w:themeColor="text1"/>
          <w:sz w:val="24"/>
          <w:szCs w:val="24"/>
        </w:rPr>
        <w:t>3</w:t>
      </w:r>
      <w:r>
        <w:rPr>
          <w:rFonts w:ascii="Times New Roman" w:hAnsi="Times New Roman" w:cs="Times New Roman"/>
          <w:b/>
          <w:color w:val="000000" w:themeColor="text1"/>
          <w:sz w:val="24"/>
          <w:szCs w:val="24"/>
        </w:rPr>
        <w:t xml:space="preserve"> 推土机推土</w:t>
      </w:r>
    </w:p>
    <w:p w14:paraId="5851DCFC">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定额编号：1-182                                             定额单位：100</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p w14:paraId="0C1B855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工作内容：推送、运送、卸除、拖平、空回。                       金额单位：元</w:t>
      </w:r>
    </w:p>
    <w:tbl>
      <w:tblPr>
        <w:tblStyle w:val="42"/>
        <w:tblW w:w="500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11" w:type="dxa"/>
          <w:left w:w="11" w:type="dxa"/>
          <w:bottom w:w="11" w:type="dxa"/>
          <w:right w:w="11" w:type="dxa"/>
        </w:tblCellMar>
      </w:tblPr>
      <w:tblGrid>
        <w:gridCol w:w="1184"/>
        <w:gridCol w:w="2559"/>
        <w:gridCol w:w="1397"/>
        <w:gridCol w:w="1086"/>
        <w:gridCol w:w="1242"/>
        <w:gridCol w:w="1632"/>
      </w:tblGrid>
      <w:tr w14:paraId="2FE7B1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24FE859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序号</w:t>
            </w:r>
          </w:p>
        </w:tc>
        <w:tc>
          <w:tcPr>
            <w:tcW w:w="2559" w:type="dxa"/>
            <w:shd w:val="clear" w:color="auto" w:fill="FFFFFF"/>
            <w:vAlign w:val="center"/>
          </w:tcPr>
          <w:p w14:paraId="5BBA09D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项目名称</w:t>
            </w:r>
          </w:p>
        </w:tc>
        <w:tc>
          <w:tcPr>
            <w:tcW w:w="1397" w:type="dxa"/>
            <w:shd w:val="clear" w:color="auto" w:fill="FFFFFF"/>
            <w:vAlign w:val="center"/>
          </w:tcPr>
          <w:p w14:paraId="176EC05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单位</w:t>
            </w:r>
          </w:p>
        </w:tc>
        <w:tc>
          <w:tcPr>
            <w:tcW w:w="1086" w:type="dxa"/>
            <w:shd w:val="clear" w:color="auto" w:fill="FFFFFF"/>
            <w:vAlign w:val="center"/>
          </w:tcPr>
          <w:p w14:paraId="3C9D775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数量</w:t>
            </w:r>
          </w:p>
        </w:tc>
        <w:tc>
          <w:tcPr>
            <w:tcW w:w="1242" w:type="dxa"/>
            <w:shd w:val="clear" w:color="auto" w:fill="FFFFFF"/>
            <w:vAlign w:val="center"/>
          </w:tcPr>
          <w:p w14:paraId="3B3025C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单价</w:t>
            </w:r>
          </w:p>
        </w:tc>
        <w:tc>
          <w:tcPr>
            <w:tcW w:w="1632" w:type="dxa"/>
            <w:shd w:val="clear" w:color="auto" w:fill="FFFFFF"/>
            <w:vAlign w:val="center"/>
          </w:tcPr>
          <w:p w14:paraId="666A72B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r>
      <w:tr w14:paraId="3754FB4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20" w:hRule="atLeast"/>
        </w:trPr>
        <w:tc>
          <w:tcPr>
            <w:tcW w:w="1184" w:type="dxa"/>
            <w:shd w:val="clear" w:color="auto" w:fill="FFFFFF"/>
            <w:vAlign w:val="center"/>
          </w:tcPr>
          <w:p w14:paraId="14B80B4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559" w:type="dxa"/>
            <w:shd w:val="clear" w:color="auto" w:fill="FFFFFF"/>
            <w:vAlign w:val="center"/>
          </w:tcPr>
          <w:p w14:paraId="03585E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直接费</w:t>
            </w:r>
          </w:p>
        </w:tc>
        <w:tc>
          <w:tcPr>
            <w:tcW w:w="1397" w:type="dxa"/>
            <w:shd w:val="clear" w:color="auto" w:fill="FFFFFF"/>
            <w:vAlign w:val="center"/>
          </w:tcPr>
          <w:p w14:paraId="5FFC116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086" w:type="dxa"/>
            <w:shd w:val="clear" w:color="auto" w:fill="FFFFFF"/>
            <w:vAlign w:val="center"/>
          </w:tcPr>
          <w:p w14:paraId="1706F5D1">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3876769F">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408C4CAF">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264.43 </w:t>
            </w:r>
          </w:p>
        </w:tc>
      </w:tr>
      <w:tr w14:paraId="5ACD703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4759590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559" w:type="dxa"/>
            <w:shd w:val="clear" w:color="auto" w:fill="FFFFFF"/>
            <w:vAlign w:val="center"/>
          </w:tcPr>
          <w:p w14:paraId="368E32B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直接工程费</w:t>
            </w:r>
          </w:p>
        </w:tc>
        <w:tc>
          <w:tcPr>
            <w:tcW w:w="1397" w:type="dxa"/>
            <w:shd w:val="clear" w:color="auto" w:fill="FFFFFF"/>
            <w:vAlign w:val="center"/>
          </w:tcPr>
          <w:p w14:paraId="74CA2AC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086" w:type="dxa"/>
            <w:shd w:val="clear" w:color="auto" w:fill="FFFFFF"/>
            <w:vAlign w:val="center"/>
          </w:tcPr>
          <w:p w14:paraId="52376492">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5930A2D6">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2C96E4E6">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251.84 </w:t>
            </w:r>
          </w:p>
        </w:tc>
      </w:tr>
      <w:tr w14:paraId="18E7568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8407D4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59" w:type="dxa"/>
            <w:shd w:val="clear" w:color="auto" w:fill="FFFFFF"/>
            <w:vAlign w:val="center"/>
          </w:tcPr>
          <w:p w14:paraId="0846E23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人工费</w:t>
            </w:r>
          </w:p>
        </w:tc>
        <w:tc>
          <w:tcPr>
            <w:tcW w:w="1397" w:type="dxa"/>
            <w:shd w:val="clear" w:color="auto" w:fill="FFFFFF"/>
            <w:vAlign w:val="center"/>
          </w:tcPr>
          <w:p w14:paraId="3230506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086" w:type="dxa"/>
            <w:shd w:val="clear" w:color="auto" w:fill="FFFFFF"/>
            <w:vAlign w:val="center"/>
          </w:tcPr>
          <w:p w14:paraId="0189C760">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75FE9EB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04E93E11">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14.18 </w:t>
            </w:r>
          </w:p>
        </w:tc>
      </w:tr>
      <w:tr w14:paraId="320323E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461075A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59" w:type="dxa"/>
            <w:shd w:val="clear" w:color="auto" w:fill="FFFFFF"/>
            <w:vAlign w:val="center"/>
          </w:tcPr>
          <w:p w14:paraId="62E122B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甲类工</w:t>
            </w:r>
          </w:p>
        </w:tc>
        <w:tc>
          <w:tcPr>
            <w:tcW w:w="1397" w:type="dxa"/>
            <w:shd w:val="clear" w:color="auto" w:fill="FFFFFF"/>
            <w:vAlign w:val="center"/>
          </w:tcPr>
          <w:p w14:paraId="4A8B941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086" w:type="dxa"/>
            <w:shd w:val="clear" w:color="auto" w:fill="FFFFFF"/>
            <w:vAlign w:val="center"/>
          </w:tcPr>
          <w:p w14:paraId="5211F33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627920F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698E3DB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r>
      <w:tr w14:paraId="5BF6AE9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17B22F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59" w:type="dxa"/>
            <w:shd w:val="clear" w:color="auto" w:fill="FFFFFF"/>
            <w:vAlign w:val="center"/>
          </w:tcPr>
          <w:p w14:paraId="3D44B3B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乙类工</w:t>
            </w:r>
          </w:p>
        </w:tc>
        <w:tc>
          <w:tcPr>
            <w:tcW w:w="1397" w:type="dxa"/>
            <w:shd w:val="clear" w:color="auto" w:fill="FFFFFF"/>
            <w:vAlign w:val="center"/>
          </w:tcPr>
          <w:p w14:paraId="6AE1971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086" w:type="dxa"/>
            <w:shd w:val="clear" w:color="auto" w:fill="FFFFFF"/>
            <w:vAlign w:val="center"/>
          </w:tcPr>
          <w:p w14:paraId="37D2D79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0.30 </w:t>
            </w:r>
          </w:p>
        </w:tc>
        <w:tc>
          <w:tcPr>
            <w:tcW w:w="1242" w:type="dxa"/>
            <w:shd w:val="clear" w:color="auto" w:fill="FFFFFF"/>
            <w:vAlign w:val="center"/>
          </w:tcPr>
          <w:p w14:paraId="2744650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45.03 </w:t>
            </w:r>
          </w:p>
        </w:tc>
        <w:tc>
          <w:tcPr>
            <w:tcW w:w="1632" w:type="dxa"/>
            <w:shd w:val="clear" w:color="auto" w:fill="FFFFFF"/>
            <w:vAlign w:val="center"/>
          </w:tcPr>
          <w:p w14:paraId="0AA02BF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13.51 </w:t>
            </w:r>
          </w:p>
        </w:tc>
      </w:tr>
      <w:tr w14:paraId="0D37DAE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532D87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559" w:type="dxa"/>
            <w:shd w:val="clear" w:color="auto" w:fill="FFFFFF"/>
            <w:vAlign w:val="center"/>
          </w:tcPr>
          <w:p w14:paraId="76F14C7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其他人工费</w:t>
            </w:r>
          </w:p>
        </w:tc>
        <w:tc>
          <w:tcPr>
            <w:tcW w:w="1397" w:type="dxa"/>
            <w:shd w:val="clear" w:color="auto" w:fill="FFFFFF"/>
            <w:vAlign w:val="center"/>
          </w:tcPr>
          <w:p w14:paraId="41B4F13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86" w:type="dxa"/>
            <w:shd w:val="clear" w:color="auto" w:fill="FFFFFF"/>
            <w:vAlign w:val="center"/>
          </w:tcPr>
          <w:p w14:paraId="1268BEA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5.00 </w:t>
            </w:r>
          </w:p>
        </w:tc>
        <w:tc>
          <w:tcPr>
            <w:tcW w:w="1242" w:type="dxa"/>
            <w:shd w:val="clear" w:color="auto" w:fill="FFFFFF"/>
            <w:vAlign w:val="center"/>
          </w:tcPr>
          <w:p w14:paraId="4143B326">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13.51 </w:t>
            </w:r>
          </w:p>
        </w:tc>
        <w:tc>
          <w:tcPr>
            <w:tcW w:w="1632" w:type="dxa"/>
            <w:shd w:val="clear" w:color="auto" w:fill="FFFFFF"/>
            <w:vAlign w:val="center"/>
          </w:tcPr>
          <w:p w14:paraId="69E5A16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0.68 </w:t>
            </w:r>
          </w:p>
        </w:tc>
      </w:tr>
      <w:tr w14:paraId="63B39E5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DA3C60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59" w:type="dxa"/>
            <w:shd w:val="clear" w:color="auto" w:fill="FFFFFF"/>
            <w:vAlign w:val="center"/>
          </w:tcPr>
          <w:p w14:paraId="68F5384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机械费</w:t>
            </w:r>
          </w:p>
        </w:tc>
        <w:tc>
          <w:tcPr>
            <w:tcW w:w="1397" w:type="dxa"/>
            <w:shd w:val="clear" w:color="auto" w:fill="FFFFFF"/>
            <w:vAlign w:val="center"/>
          </w:tcPr>
          <w:p w14:paraId="04AC0A7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086" w:type="dxa"/>
            <w:shd w:val="clear" w:color="auto" w:fill="FFFFFF"/>
            <w:vAlign w:val="center"/>
          </w:tcPr>
          <w:p w14:paraId="604BA7F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4AE19DA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09C362C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251.84 </w:t>
            </w:r>
          </w:p>
        </w:tc>
      </w:tr>
      <w:tr w14:paraId="77814E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03B5E98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59" w:type="dxa"/>
            <w:shd w:val="clear" w:color="auto" w:fill="FFFFFF"/>
            <w:vAlign w:val="center"/>
          </w:tcPr>
          <w:p w14:paraId="5A5F9CE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推土机74KW</w:t>
            </w:r>
          </w:p>
        </w:tc>
        <w:tc>
          <w:tcPr>
            <w:tcW w:w="1397" w:type="dxa"/>
            <w:shd w:val="clear" w:color="auto" w:fill="FFFFFF"/>
            <w:vAlign w:val="center"/>
          </w:tcPr>
          <w:p w14:paraId="53A438F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台班</w:t>
            </w:r>
          </w:p>
        </w:tc>
        <w:tc>
          <w:tcPr>
            <w:tcW w:w="1086" w:type="dxa"/>
            <w:shd w:val="clear" w:color="auto" w:fill="FFFFFF"/>
            <w:vAlign w:val="center"/>
          </w:tcPr>
          <w:p w14:paraId="7B992FE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0.42 </w:t>
            </w:r>
          </w:p>
        </w:tc>
        <w:tc>
          <w:tcPr>
            <w:tcW w:w="1242" w:type="dxa"/>
            <w:shd w:val="clear" w:color="auto" w:fill="FFFFFF"/>
            <w:vAlign w:val="center"/>
          </w:tcPr>
          <w:p w14:paraId="10C5E7B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571.07 </w:t>
            </w:r>
          </w:p>
        </w:tc>
        <w:tc>
          <w:tcPr>
            <w:tcW w:w="1632" w:type="dxa"/>
            <w:shd w:val="clear" w:color="auto" w:fill="FFFFFF"/>
            <w:vAlign w:val="center"/>
          </w:tcPr>
          <w:p w14:paraId="4A4643E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239.85 </w:t>
            </w:r>
          </w:p>
        </w:tc>
      </w:tr>
      <w:tr w14:paraId="1F45839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4B4625A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59" w:type="dxa"/>
            <w:shd w:val="clear" w:color="auto" w:fill="FFFFFF"/>
            <w:vAlign w:val="center"/>
          </w:tcPr>
          <w:p w14:paraId="566BE8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其他机械费</w:t>
            </w:r>
          </w:p>
        </w:tc>
        <w:tc>
          <w:tcPr>
            <w:tcW w:w="1397" w:type="dxa"/>
            <w:shd w:val="clear" w:color="auto" w:fill="FFFFFF"/>
            <w:vAlign w:val="center"/>
          </w:tcPr>
          <w:p w14:paraId="61EB3AF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86" w:type="dxa"/>
            <w:shd w:val="clear" w:color="auto" w:fill="FFFFFF"/>
            <w:vAlign w:val="center"/>
          </w:tcPr>
          <w:p w14:paraId="1ED61C8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5.00 </w:t>
            </w:r>
          </w:p>
        </w:tc>
        <w:tc>
          <w:tcPr>
            <w:tcW w:w="1242" w:type="dxa"/>
            <w:shd w:val="clear" w:color="auto" w:fill="FFFFFF"/>
            <w:vAlign w:val="center"/>
          </w:tcPr>
          <w:p w14:paraId="6CF940B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239.85 </w:t>
            </w:r>
          </w:p>
        </w:tc>
        <w:tc>
          <w:tcPr>
            <w:tcW w:w="1632" w:type="dxa"/>
            <w:shd w:val="clear" w:color="auto" w:fill="FFFFFF"/>
            <w:vAlign w:val="center"/>
          </w:tcPr>
          <w:p w14:paraId="22F3C56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11.99 </w:t>
            </w:r>
          </w:p>
        </w:tc>
      </w:tr>
      <w:tr w14:paraId="35DE280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2D5D2BD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559" w:type="dxa"/>
            <w:shd w:val="clear" w:color="auto" w:fill="FFFFFF"/>
            <w:vAlign w:val="center"/>
          </w:tcPr>
          <w:p w14:paraId="3016986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措施费</w:t>
            </w:r>
          </w:p>
        </w:tc>
        <w:tc>
          <w:tcPr>
            <w:tcW w:w="1397" w:type="dxa"/>
            <w:shd w:val="clear" w:color="auto" w:fill="FFFFFF"/>
            <w:vAlign w:val="center"/>
          </w:tcPr>
          <w:p w14:paraId="7DC45B2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86" w:type="dxa"/>
            <w:shd w:val="clear" w:color="auto" w:fill="FFFFFF"/>
            <w:vAlign w:val="center"/>
          </w:tcPr>
          <w:p w14:paraId="26A8D0D1">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5.00 </w:t>
            </w:r>
          </w:p>
        </w:tc>
        <w:tc>
          <w:tcPr>
            <w:tcW w:w="1242" w:type="dxa"/>
            <w:shd w:val="clear" w:color="auto" w:fill="FFFFFF"/>
            <w:vAlign w:val="center"/>
          </w:tcPr>
          <w:p w14:paraId="30DD7D81">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251.84 </w:t>
            </w:r>
          </w:p>
        </w:tc>
        <w:tc>
          <w:tcPr>
            <w:tcW w:w="1632" w:type="dxa"/>
            <w:shd w:val="clear" w:color="auto" w:fill="FFFFFF"/>
            <w:vAlign w:val="center"/>
          </w:tcPr>
          <w:p w14:paraId="19F255C3">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12.59 </w:t>
            </w:r>
          </w:p>
        </w:tc>
      </w:tr>
      <w:tr w14:paraId="66ED492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AEE715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559" w:type="dxa"/>
            <w:shd w:val="clear" w:color="auto" w:fill="FFFFFF"/>
            <w:vAlign w:val="center"/>
          </w:tcPr>
          <w:p w14:paraId="321CCB3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间接费</w:t>
            </w:r>
          </w:p>
        </w:tc>
        <w:tc>
          <w:tcPr>
            <w:tcW w:w="1397" w:type="dxa"/>
            <w:shd w:val="clear" w:color="auto" w:fill="FFFFFF"/>
            <w:vAlign w:val="center"/>
          </w:tcPr>
          <w:p w14:paraId="6414FED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86" w:type="dxa"/>
            <w:shd w:val="clear" w:color="auto" w:fill="FFFFFF"/>
            <w:vAlign w:val="center"/>
          </w:tcPr>
          <w:p w14:paraId="368FDCA1">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5.00 </w:t>
            </w:r>
          </w:p>
        </w:tc>
        <w:tc>
          <w:tcPr>
            <w:tcW w:w="1242" w:type="dxa"/>
            <w:shd w:val="clear" w:color="auto" w:fill="FFFFFF"/>
            <w:vAlign w:val="center"/>
          </w:tcPr>
          <w:p w14:paraId="2DB34153">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264.43 </w:t>
            </w:r>
          </w:p>
        </w:tc>
        <w:tc>
          <w:tcPr>
            <w:tcW w:w="1632" w:type="dxa"/>
            <w:shd w:val="clear" w:color="auto" w:fill="FFFFFF"/>
            <w:vAlign w:val="center"/>
          </w:tcPr>
          <w:p w14:paraId="6D9E4A8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13.22 </w:t>
            </w:r>
          </w:p>
        </w:tc>
      </w:tr>
      <w:tr w14:paraId="4A5D19A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663F1B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w:t>
            </w:r>
          </w:p>
        </w:tc>
        <w:tc>
          <w:tcPr>
            <w:tcW w:w="2559" w:type="dxa"/>
            <w:shd w:val="clear" w:color="auto" w:fill="FFFFFF"/>
            <w:vAlign w:val="center"/>
          </w:tcPr>
          <w:p w14:paraId="04F73DD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利润</w:t>
            </w:r>
          </w:p>
        </w:tc>
        <w:tc>
          <w:tcPr>
            <w:tcW w:w="1397" w:type="dxa"/>
            <w:shd w:val="clear" w:color="auto" w:fill="FFFFFF"/>
            <w:vAlign w:val="center"/>
          </w:tcPr>
          <w:p w14:paraId="0C8CF78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86" w:type="dxa"/>
            <w:shd w:val="clear" w:color="auto" w:fill="FFFFFF"/>
            <w:vAlign w:val="center"/>
          </w:tcPr>
          <w:p w14:paraId="0413293F">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7.00 </w:t>
            </w:r>
          </w:p>
        </w:tc>
        <w:tc>
          <w:tcPr>
            <w:tcW w:w="1242" w:type="dxa"/>
            <w:shd w:val="clear" w:color="auto" w:fill="FFFFFF"/>
            <w:vAlign w:val="center"/>
          </w:tcPr>
          <w:p w14:paraId="1BA65B07">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277.66 </w:t>
            </w:r>
          </w:p>
        </w:tc>
        <w:tc>
          <w:tcPr>
            <w:tcW w:w="1632" w:type="dxa"/>
            <w:shd w:val="clear" w:color="auto" w:fill="FFFFFF"/>
            <w:vAlign w:val="center"/>
          </w:tcPr>
          <w:p w14:paraId="58EB0983">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19.44 </w:t>
            </w:r>
          </w:p>
        </w:tc>
      </w:tr>
      <w:tr w14:paraId="12E90E9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F9BEE6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四</w:t>
            </w:r>
          </w:p>
        </w:tc>
        <w:tc>
          <w:tcPr>
            <w:tcW w:w="2559" w:type="dxa"/>
            <w:shd w:val="clear" w:color="auto" w:fill="FFFFFF"/>
            <w:vAlign w:val="center"/>
          </w:tcPr>
          <w:p w14:paraId="4EBC388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材料价差</w:t>
            </w:r>
          </w:p>
        </w:tc>
        <w:tc>
          <w:tcPr>
            <w:tcW w:w="1397" w:type="dxa"/>
            <w:shd w:val="clear" w:color="auto" w:fill="FFFFFF"/>
            <w:vAlign w:val="center"/>
          </w:tcPr>
          <w:p w14:paraId="52068C6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086" w:type="dxa"/>
            <w:shd w:val="clear" w:color="auto" w:fill="FFFFFF"/>
            <w:vAlign w:val="center"/>
          </w:tcPr>
          <w:p w14:paraId="05D2C23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757D7E6D">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669138C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75.08 </w:t>
            </w:r>
          </w:p>
        </w:tc>
      </w:tr>
      <w:tr w14:paraId="40C7BBF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BCFEAD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59" w:type="dxa"/>
            <w:shd w:val="clear" w:color="auto" w:fill="FFFFFF"/>
            <w:vAlign w:val="center"/>
          </w:tcPr>
          <w:p w14:paraId="3F3D1C0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柴油</w:t>
            </w:r>
          </w:p>
        </w:tc>
        <w:tc>
          <w:tcPr>
            <w:tcW w:w="1397" w:type="dxa"/>
            <w:shd w:val="clear" w:color="auto" w:fill="FFFFFF"/>
            <w:vAlign w:val="center"/>
          </w:tcPr>
          <w:p w14:paraId="1924436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kg</w:t>
            </w:r>
          </w:p>
        </w:tc>
        <w:tc>
          <w:tcPr>
            <w:tcW w:w="1086" w:type="dxa"/>
            <w:shd w:val="clear" w:color="auto" w:fill="FFFFFF"/>
            <w:vAlign w:val="center"/>
          </w:tcPr>
          <w:p w14:paraId="7FEEDD94">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23.10 </w:t>
            </w:r>
          </w:p>
        </w:tc>
        <w:tc>
          <w:tcPr>
            <w:tcW w:w="1242" w:type="dxa"/>
            <w:shd w:val="clear" w:color="auto" w:fill="FFFFFF"/>
            <w:vAlign w:val="center"/>
          </w:tcPr>
          <w:p w14:paraId="29E665F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3.25 </w:t>
            </w:r>
          </w:p>
        </w:tc>
        <w:tc>
          <w:tcPr>
            <w:tcW w:w="1632" w:type="dxa"/>
            <w:shd w:val="clear" w:color="auto" w:fill="FFFFFF"/>
            <w:vAlign w:val="center"/>
          </w:tcPr>
          <w:p w14:paraId="4EC91FE0">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75.08 </w:t>
            </w:r>
          </w:p>
        </w:tc>
      </w:tr>
      <w:tr w14:paraId="2507069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226C7F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五</w:t>
            </w:r>
          </w:p>
        </w:tc>
        <w:tc>
          <w:tcPr>
            <w:tcW w:w="2559" w:type="dxa"/>
            <w:shd w:val="clear" w:color="auto" w:fill="FFFFFF"/>
            <w:vAlign w:val="center"/>
          </w:tcPr>
          <w:p w14:paraId="5E415E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未计价材料费</w:t>
            </w:r>
          </w:p>
        </w:tc>
        <w:tc>
          <w:tcPr>
            <w:tcW w:w="1397" w:type="dxa"/>
            <w:shd w:val="clear" w:color="auto" w:fill="FFFFFF"/>
            <w:vAlign w:val="center"/>
          </w:tcPr>
          <w:p w14:paraId="62AC280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086" w:type="dxa"/>
            <w:shd w:val="clear" w:color="auto" w:fill="FFFFFF"/>
            <w:vAlign w:val="center"/>
          </w:tcPr>
          <w:p w14:paraId="2926B0D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255056A4">
            <w:pPr>
              <w:topLinePunct/>
              <w:snapToGrid w:val="0"/>
              <w:spacing w:line="240" w:lineRule="auto"/>
              <w:rPr>
                <w:rFonts w:ascii="Times New Roman" w:hAnsi="Times New Roman" w:cs="Times New Roman"/>
                <w:color w:val="000000" w:themeColor="text1"/>
                <w:kern w:val="0"/>
                <w:sz w:val="24"/>
                <w:szCs w:val="24"/>
              </w:rPr>
            </w:pPr>
          </w:p>
        </w:tc>
        <w:tc>
          <w:tcPr>
            <w:tcW w:w="1632" w:type="dxa"/>
            <w:shd w:val="clear" w:color="auto" w:fill="FFFFFF"/>
            <w:vAlign w:val="center"/>
          </w:tcPr>
          <w:p w14:paraId="0195B666">
            <w:pPr>
              <w:topLinePunct/>
              <w:snapToGrid w:val="0"/>
              <w:spacing w:line="240" w:lineRule="auto"/>
              <w:rPr>
                <w:rFonts w:ascii="Times New Roman" w:hAnsi="Times New Roman" w:cs="Times New Roman"/>
                <w:color w:val="000000" w:themeColor="text1"/>
                <w:kern w:val="0"/>
                <w:sz w:val="24"/>
                <w:szCs w:val="24"/>
              </w:rPr>
            </w:pPr>
          </w:p>
        </w:tc>
      </w:tr>
      <w:tr w14:paraId="62CF7D4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DACC4C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六</w:t>
            </w:r>
          </w:p>
        </w:tc>
        <w:tc>
          <w:tcPr>
            <w:tcW w:w="2559" w:type="dxa"/>
            <w:shd w:val="clear" w:color="auto" w:fill="FFFFFF"/>
            <w:vAlign w:val="center"/>
          </w:tcPr>
          <w:p w14:paraId="7EAD4F7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税金</w:t>
            </w:r>
          </w:p>
        </w:tc>
        <w:tc>
          <w:tcPr>
            <w:tcW w:w="1397" w:type="dxa"/>
            <w:shd w:val="clear" w:color="auto" w:fill="FFFFFF"/>
            <w:vAlign w:val="center"/>
          </w:tcPr>
          <w:p w14:paraId="04D3E96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86" w:type="dxa"/>
            <w:shd w:val="clear" w:color="auto" w:fill="FFFFFF"/>
            <w:vAlign w:val="bottom"/>
          </w:tcPr>
          <w:p w14:paraId="72D90E50">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9.00 </w:t>
            </w:r>
          </w:p>
        </w:tc>
        <w:tc>
          <w:tcPr>
            <w:tcW w:w="1242" w:type="dxa"/>
            <w:shd w:val="clear" w:color="auto" w:fill="FFFFFF"/>
            <w:vAlign w:val="center"/>
          </w:tcPr>
          <w:p w14:paraId="558CAA96">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372.17 </w:t>
            </w:r>
          </w:p>
        </w:tc>
        <w:tc>
          <w:tcPr>
            <w:tcW w:w="1632" w:type="dxa"/>
            <w:shd w:val="clear" w:color="auto" w:fill="FFFFFF"/>
            <w:vAlign w:val="center"/>
          </w:tcPr>
          <w:p w14:paraId="1A067A4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33.49 </w:t>
            </w:r>
          </w:p>
        </w:tc>
      </w:tr>
      <w:tr w14:paraId="541110A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tcBorders>
              <w:right w:val="single" w:color="000000" w:sz="4" w:space="0"/>
            </w:tcBorders>
            <w:shd w:val="clear" w:color="auto" w:fill="FFFFFF"/>
            <w:vAlign w:val="center"/>
          </w:tcPr>
          <w:p w14:paraId="56E9C97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2559" w:type="dxa"/>
            <w:tcBorders>
              <w:left w:val="single" w:color="000000" w:sz="4" w:space="0"/>
            </w:tcBorders>
            <w:shd w:val="clear" w:color="auto" w:fill="FFFFFF"/>
            <w:vAlign w:val="center"/>
          </w:tcPr>
          <w:p w14:paraId="11D9825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    计</w:t>
            </w:r>
          </w:p>
        </w:tc>
        <w:tc>
          <w:tcPr>
            <w:tcW w:w="1397" w:type="dxa"/>
            <w:shd w:val="clear" w:color="auto" w:fill="FFFFFF"/>
            <w:vAlign w:val="center"/>
          </w:tcPr>
          <w:p w14:paraId="0C09D2C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086" w:type="dxa"/>
            <w:shd w:val="clear" w:color="auto" w:fill="FFFFFF"/>
            <w:vAlign w:val="center"/>
          </w:tcPr>
          <w:p w14:paraId="78AF2A0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42" w:type="dxa"/>
            <w:shd w:val="clear" w:color="auto" w:fill="FFFFFF"/>
            <w:vAlign w:val="center"/>
          </w:tcPr>
          <w:p w14:paraId="028C484B">
            <w:pP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18AF6755">
            <w:pPr>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405.66 </w:t>
            </w:r>
          </w:p>
        </w:tc>
      </w:tr>
    </w:tbl>
    <w:p w14:paraId="5D2B5D4A">
      <w:pPr>
        <w:tabs>
          <w:tab w:val="left" w:pos="3403"/>
        </w:tabs>
        <w:spacing w:before="28"/>
        <w:ind w:left="2" w:right="44"/>
        <w:jc w:val="center"/>
        <w:rPr>
          <w:rFonts w:ascii="Times New Roman" w:hAnsi="Times New Roman" w:cs="Times New Roman"/>
          <w:b/>
          <w:color w:val="000000" w:themeColor="text1"/>
          <w:sz w:val="24"/>
          <w:szCs w:val="24"/>
        </w:rPr>
      </w:pPr>
    </w:p>
    <w:p w14:paraId="3BD2A223">
      <w:pPr>
        <w:tabs>
          <w:tab w:val="left" w:pos="3403"/>
        </w:tabs>
        <w:spacing w:before="28"/>
        <w:ind w:left="2" w:right="44"/>
        <w:jc w:val="center"/>
        <w:rPr>
          <w:rFonts w:ascii="Times New Roman" w:hAnsi="Times New Roman" w:cs="Times New Roman"/>
          <w:b/>
          <w:color w:val="000000" w:themeColor="text1"/>
          <w:sz w:val="24"/>
          <w:szCs w:val="24"/>
        </w:rPr>
      </w:pPr>
    </w:p>
    <w:p w14:paraId="29CD8869">
      <w:pPr>
        <w:tabs>
          <w:tab w:val="left" w:pos="3403"/>
        </w:tabs>
        <w:spacing w:before="28"/>
        <w:ind w:left="2" w:right="44"/>
        <w:jc w:val="center"/>
        <w:rPr>
          <w:rFonts w:ascii="Times New Roman" w:hAnsi="Times New Roman" w:cs="Times New Roman"/>
          <w:b/>
          <w:color w:val="000000" w:themeColor="text1"/>
          <w:sz w:val="24"/>
          <w:szCs w:val="24"/>
        </w:rPr>
      </w:pPr>
    </w:p>
    <w:p w14:paraId="09CB5E31">
      <w:pPr>
        <w:tabs>
          <w:tab w:val="left" w:pos="3403"/>
        </w:tabs>
        <w:spacing w:before="28"/>
        <w:ind w:left="2" w:right="44"/>
        <w:jc w:val="center"/>
        <w:rPr>
          <w:rFonts w:ascii="Times New Roman" w:hAnsi="Times New Roman" w:cs="Times New Roman"/>
          <w:b/>
          <w:color w:val="000000" w:themeColor="text1"/>
          <w:sz w:val="24"/>
          <w:szCs w:val="24"/>
        </w:rPr>
      </w:pPr>
    </w:p>
    <w:p w14:paraId="5F16B2C6">
      <w:pPr>
        <w:tabs>
          <w:tab w:val="left" w:pos="3403"/>
        </w:tabs>
        <w:spacing w:before="28"/>
        <w:ind w:left="2" w:right="44"/>
        <w:jc w:val="center"/>
        <w:rPr>
          <w:rFonts w:ascii="Times New Roman" w:hAnsi="Times New Roman" w:cs="Times New Roman"/>
          <w:b/>
          <w:color w:val="000000" w:themeColor="text1"/>
          <w:sz w:val="24"/>
          <w:szCs w:val="24"/>
        </w:rPr>
      </w:pPr>
    </w:p>
    <w:p w14:paraId="1310F62F">
      <w:pPr>
        <w:tabs>
          <w:tab w:val="left" w:pos="3403"/>
        </w:tabs>
        <w:spacing w:before="28"/>
        <w:ind w:left="2" w:right="44"/>
        <w:jc w:val="center"/>
        <w:rPr>
          <w:rFonts w:ascii="Times New Roman" w:hAnsi="Times New Roman" w:cs="Times New Roman"/>
          <w:b/>
          <w:color w:val="000000" w:themeColor="text1"/>
          <w:sz w:val="24"/>
          <w:szCs w:val="24"/>
        </w:rPr>
      </w:pPr>
    </w:p>
    <w:p w14:paraId="6A469293">
      <w:pPr>
        <w:tabs>
          <w:tab w:val="left" w:pos="3403"/>
        </w:tabs>
        <w:spacing w:before="28"/>
        <w:ind w:left="2" w:right="44"/>
        <w:jc w:val="center"/>
        <w:rPr>
          <w:rFonts w:ascii="Times New Roman" w:hAnsi="Times New Roman" w:cs="Times New Roman"/>
          <w:b/>
          <w:color w:val="000000" w:themeColor="text1"/>
          <w:sz w:val="24"/>
          <w:szCs w:val="24"/>
        </w:rPr>
      </w:pPr>
    </w:p>
    <w:p w14:paraId="5DA7E218">
      <w:pPr>
        <w:tabs>
          <w:tab w:val="left" w:pos="3403"/>
        </w:tabs>
        <w:spacing w:before="28"/>
        <w:ind w:left="2" w:right="44"/>
        <w:jc w:val="center"/>
        <w:rPr>
          <w:rFonts w:ascii="Times New Roman" w:hAnsi="Times New Roman" w:cs="Times New Roman"/>
          <w:b/>
          <w:color w:val="000000" w:themeColor="text1"/>
          <w:sz w:val="24"/>
          <w:szCs w:val="24"/>
        </w:rPr>
      </w:pPr>
    </w:p>
    <w:p w14:paraId="2D999C7D">
      <w:pPr>
        <w:tabs>
          <w:tab w:val="left" w:pos="3403"/>
        </w:tabs>
        <w:spacing w:before="28"/>
        <w:ind w:left="2" w:right="44"/>
        <w:jc w:val="center"/>
        <w:rPr>
          <w:rFonts w:ascii="Times New Roman" w:hAnsi="Times New Roman" w:cs="Times New Roman"/>
          <w:b/>
          <w:color w:val="000000" w:themeColor="text1"/>
          <w:sz w:val="24"/>
          <w:szCs w:val="24"/>
        </w:rPr>
      </w:pPr>
    </w:p>
    <w:p w14:paraId="28BB7333">
      <w:pPr>
        <w:tabs>
          <w:tab w:val="left" w:pos="3403"/>
        </w:tabs>
        <w:spacing w:before="28"/>
        <w:ind w:left="2" w:right="44"/>
        <w:jc w:val="center"/>
        <w:rPr>
          <w:rFonts w:ascii="Times New Roman" w:hAnsi="Times New Roman" w:cs="Times New Roman"/>
          <w:b/>
          <w:color w:val="000000" w:themeColor="text1"/>
          <w:sz w:val="24"/>
          <w:szCs w:val="24"/>
        </w:rPr>
      </w:pPr>
    </w:p>
    <w:p w14:paraId="77F668B7">
      <w:pPr>
        <w:tabs>
          <w:tab w:val="left" w:pos="3403"/>
        </w:tabs>
        <w:spacing w:before="28"/>
        <w:ind w:left="2" w:right="44"/>
        <w:jc w:val="center"/>
        <w:rPr>
          <w:rFonts w:ascii="Times New Roman" w:hAnsi="Times New Roman" w:cs="Times New Roman"/>
          <w:b/>
          <w:color w:val="000000" w:themeColor="text1"/>
          <w:sz w:val="24"/>
          <w:szCs w:val="24"/>
        </w:rPr>
      </w:pPr>
    </w:p>
    <w:p w14:paraId="2900DAC6">
      <w:pPr>
        <w:tabs>
          <w:tab w:val="left" w:pos="3403"/>
        </w:tabs>
        <w:spacing w:before="28"/>
        <w:ind w:left="2" w:right="44"/>
        <w:jc w:val="center"/>
        <w:rPr>
          <w:rFonts w:ascii="Times New Roman" w:hAnsi="Times New Roman" w:cs="Times New Roman"/>
          <w:b/>
          <w:color w:val="000000" w:themeColor="text1"/>
          <w:sz w:val="24"/>
          <w:szCs w:val="24"/>
        </w:rPr>
      </w:pPr>
    </w:p>
    <w:p w14:paraId="09C10F00">
      <w:pPr>
        <w:tabs>
          <w:tab w:val="left" w:pos="3403"/>
        </w:tabs>
        <w:spacing w:before="28"/>
        <w:ind w:left="2" w:right="44"/>
        <w:jc w:val="center"/>
        <w:rPr>
          <w:rFonts w:ascii="Times New Roman" w:hAnsi="Times New Roman" w:cs="Times New Roman"/>
          <w:b/>
          <w:color w:val="000000" w:themeColor="text1"/>
          <w:sz w:val="24"/>
          <w:szCs w:val="24"/>
        </w:rPr>
      </w:pPr>
    </w:p>
    <w:p w14:paraId="0C8DB79F">
      <w:pPr>
        <w:tabs>
          <w:tab w:val="left" w:pos="3403"/>
        </w:tabs>
        <w:spacing w:before="28"/>
        <w:ind w:left="2" w:right="44"/>
        <w:jc w:val="center"/>
        <w:rPr>
          <w:rFonts w:ascii="Times New Roman" w:hAnsi="Times New Roman" w:cs="Times New Roman"/>
          <w:b/>
          <w:color w:val="000000" w:themeColor="text1"/>
          <w:sz w:val="24"/>
          <w:szCs w:val="24"/>
        </w:rPr>
      </w:pPr>
    </w:p>
    <w:p w14:paraId="4E7BC5AC">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表6-1</w:t>
      </w:r>
      <w:r>
        <w:rPr>
          <w:rFonts w:hint="eastAsia" w:ascii="Times New Roman" w:hAnsi="Times New Roman" w:cs="Times New Roman"/>
          <w:b/>
          <w:color w:val="000000" w:themeColor="text1"/>
          <w:sz w:val="24"/>
          <w:szCs w:val="24"/>
        </w:rPr>
        <w:t>4</w:t>
      </w:r>
      <w:r>
        <w:rPr>
          <w:rFonts w:ascii="Times New Roman" w:hAnsi="Times New Roman" w:cs="Times New Roman"/>
          <w:b/>
          <w:color w:val="000000" w:themeColor="text1"/>
          <w:sz w:val="24"/>
          <w:szCs w:val="24"/>
        </w:rPr>
        <w:t xml:space="preserve"> 挖掘机挖土</w:t>
      </w:r>
    </w:p>
    <w:p w14:paraId="50C23DD5">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定额编号：1-283                                             定额单位：100</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p w14:paraId="2984510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工作内容：挖土、就地堆放。                                    金额单位：元</w:t>
      </w:r>
    </w:p>
    <w:tbl>
      <w:tblPr>
        <w:tblStyle w:val="42"/>
        <w:tblW w:w="500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11" w:type="dxa"/>
          <w:left w:w="11" w:type="dxa"/>
          <w:bottom w:w="11" w:type="dxa"/>
          <w:right w:w="11" w:type="dxa"/>
        </w:tblCellMar>
      </w:tblPr>
      <w:tblGrid>
        <w:gridCol w:w="1184"/>
        <w:gridCol w:w="2559"/>
        <w:gridCol w:w="1397"/>
        <w:gridCol w:w="1086"/>
        <w:gridCol w:w="1242"/>
        <w:gridCol w:w="1632"/>
      </w:tblGrid>
      <w:tr w14:paraId="7825D5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4EBD28A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序号</w:t>
            </w:r>
          </w:p>
        </w:tc>
        <w:tc>
          <w:tcPr>
            <w:tcW w:w="2559" w:type="dxa"/>
            <w:shd w:val="clear" w:color="auto" w:fill="FFFFFF"/>
            <w:vAlign w:val="center"/>
          </w:tcPr>
          <w:p w14:paraId="274C14E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项目名称</w:t>
            </w:r>
          </w:p>
        </w:tc>
        <w:tc>
          <w:tcPr>
            <w:tcW w:w="1397" w:type="dxa"/>
            <w:shd w:val="clear" w:color="auto" w:fill="FFFFFF"/>
            <w:vAlign w:val="center"/>
          </w:tcPr>
          <w:p w14:paraId="3443E4D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单位</w:t>
            </w:r>
          </w:p>
        </w:tc>
        <w:tc>
          <w:tcPr>
            <w:tcW w:w="1086" w:type="dxa"/>
            <w:shd w:val="clear" w:color="auto" w:fill="FFFFFF"/>
            <w:vAlign w:val="center"/>
          </w:tcPr>
          <w:p w14:paraId="05C5940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数量</w:t>
            </w:r>
          </w:p>
        </w:tc>
        <w:tc>
          <w:tcPr>
            <w:tcW w:w="1242" w:type="dxa"/>
            <w:shd w:val="clear" w:color="auto" w:fill="FFFFFF"/>
            <w:vAlign w:val="center"/>
          </w:tcPr>
          <w:p w14:paraId="77851CA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单价</w:t>
            </w:r>
          </w:p>
        </w:tc>
        <w:tc>
          <w:tcPr>
            <w:tcW w:w="1632" w:type="dxa"/>
            <w:shd w:val="clear" w:color="auto" w:fill="FFFFFF"/>
            <w:vAlign w:val="center"/>
          </w:tcPr>
          <w:p w14:paraId="38BD3C8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小计</w:t>
            </w:r>
          </w:p>
        </w:tc>
      </w:tr>
      <w:tr w14:paraId="2A2D5F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076C9A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559" w:type="dxa"/>
            <w:shd w:val="clear" w:color="auto" w:fill="FFFFFF"/>
            <w:vAlign w:val="center"/>
          </w:tcPr>
          <w:p w14:paraId="7FE3149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直接费</w:t>
            </w:r>
          </w:p>
        </w:tc>
        <w:tc>
          <w:tcPr>
            <w:tcW w:w="1397" w:type="dxa"/>
            <w:shd w:val="clear" w:color="auto" w:fill="FFFFFF"/>
            <w:vAlign w:val="center"/>
          </w:tcPr>
          <w:p w14:paraId="15447E3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086" w:type="dxa"/>
            <w:shd w:val="clear" w:color="auto" w:fill="FFFFFF"/>
            <w:vAlign w:val="center"/>
          </w:tcPr>
          <w:p w14:paraId="01B5C33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4ED9EEA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5B79AE5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182.64 </w:t>
            </w:r>
          </w:p>
        </w:tc>
      </w:tr>
      <w:tr w14:paraId="055567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5F6BCE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559" w:type="dxa"/>
            <w:shd w:val="clear" w:color="auto" w:fill="FFFFFF"/>
            <w:vAlign w:val="center"/>
          </w:tcPr>
          <w:p w14:paraId="3297EB3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直接工程费</w:t>
            </w:r>
          </w:p>
        </w:tc>
        <w:tc>
          <w:tcPr>
            <w:tcW w:w="1397" w:type="dxa"/>
            <w:shd w:val="clear" w:color="auto" w:fill="FFFFFF"/>
            <w:vAlign w:val="center"/>
          </w:tcPr>
          <w:p w14:paraId="28DBE17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086" w:type="dxa"/>
            <w:shd w:val="clear" w:color="auto" w:fill="FFFFFF"/>
            <w:vAlign w:val="center"/>
          </w:tcPr>
          <w:p w14:paraId="59DE4BD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350BE72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1519668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173.94 </w:t>
            </w:r>
          </w:p>
        </w:tc>
      </w:tr>
      <w:tr w14:paraId="3CDA3E9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42E0CC8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59" w:type="dxa"/>
            <w:shd w:val="clear" w:color="auto" w:fill="FFFFFF"/>
            <w:vAlign w:val="center"/>
          </w:tcPr>
          <w:p w14:paraId="2E9406C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人工费</w:t>
            </w:r>
          </w:p>
        </w:tc>
        <w:tc>
          <w:tcPr>
            <w:tcW w:w="1397" w:type="dxa"/>
            <w:shd w:val="clear" w:color="auto" w:fill="FFFFFF"/>
            <w:vAlign w:val="center"/>
          </w:tcPr>
          <w:p w14:paraId="6E4F5A7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086" w:type="dxa"/>
            <w:shd w:val="clear" w:color="auto" w:fill="FFFFFF"/>
            <w:vAlign w:val="center"/>
          </w:tcPr>
          <w:p w14:paraId="573A426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5D9C614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4223887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31.07 </w:t>
            </w:r>
          </w:p>
        </w:tc>
      </w:tr>
      <w:tr w14:paraId="0CDDC0E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09C9976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59" w:type="dxa"/>
            <w:shd w:val="clear" w:color="auto" w:fill="FFFFFF"/>
            <w:vAlign w:val="center"/>
          </w:tcPr>
          <w:p w14:paraId="0ACF29E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甲类工</w:t>
            </w:r>
          </w:p>
        </w:tc>
        <w:tc>
          <w:tcPr>
            <w:tcW w:w="1397" w:type="dxa"/>
            <w:shd w:val="clear" w:color="auto" w:fill="FFFFFF"/>
            <w:vAlign w:val="center"/>
          </w:tcPr>
          <w:p w14:paraId="0F58CA4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086" w:type="dxa"/>
            <w:shd w:val="clear" w:color="auto" w:fill="FFFFFF"/>
            <w:vAlign w:val="center"/>
          </w:tcPr>
          <w:p w14:paraId="7F23D9F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19BCFE5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66AE237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r>
      <w:tr w14:paraId="7E467AA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7A224C9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59" w:type="dxa"/>
            <w:shd w:val="clear" w:color="auto" w:fill="FFFFFF"/>
            <w:vAlign w:val="center"/>
          </w:tcPr>
          <w:p w14:paraId="14E1103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乙类工</w:t>
            </w:r>
          </w:p>
        </w:tc>
        <w:tc>
          <w:tcPr>
            <w:tcW w:w="1397" w:type="dxa"/>
            <w:shd w:val="clear" w:color="auto" w:fill="FFFFFF"/>
            <w:vAlign w:val="center"/>
          </w:tcPr>
          <w:p w14:paraId="7A941D8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086" w:type="dxa"/>
            <w:shd w:val="clear" w:color="auto" w:fill="FFFFFF"/>
            <w:vAlign w:val="center"/>
          </w:tcPr>
          <w:p w14:paraId="08E4FD0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0.6</w:t>
            </w:r>
          </w:p>
        </w:tc>
        <w:tc>
          <w:tcPr>
            <w:tcW w:w="1242" w:type="dxa"/>
            <w:shd w:val="clear" w:color="auto" w:fill="FFFFFF"/>
            <w:vAlign w:val="center"/>
          </w:tcPr>
          <w:p w14:paraId="7F6EDCA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45.03 </w:t>
            </w:r>
          </w:p>
        </w:tc>
        <w:tc>
          <w:tcPr>
            <w:tcW w:w="1632" w:type="dxa"/>
            <w:shd w:val="clear" w:color="auto" w:fill="FFFFFF"/>
            <w:vAlign w:val="center"/>
          </w:tcPr>
          <w:p w14:paraId="7B31D7F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27.02 </w:t>
            </w:r>
          </w:p>
        </w:tc>
      </w:tr>
      <w:tr w14:paraId="5D5C09C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7D5DC4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559" w:type="dxa"/>
            <w:shd w:val="clear" w:color="auto" w:fill="FFFFFF"/>
            <w:vAlign w:val="center"/>
          </w:tcPr>
          <w:p w14:paraId="6292627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其他人工费</w:t>
            </w:r>
          </w:p>
        </w:tc>
        <w:tc>
          <w:tcPr>
            <w:tcW w:w="1397" w:type="dxa"/>
            <w:shd w:val="clear" w:color="auto" w:fill="FFFFFF"/>
            <w:vAlign w:val="center"/>
          </w:tcPr>
          <w:p w14:paraId="6C16C23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86" w:type="dxa"/>
            <w:shd w:val="clear" w:color="auto" w:fill="FFFFFF"/>
            <w:vAlign w:val="center"/>
          </w:tcPr>
          <w:p w14:paraId="2A99ACF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15</w:t>
            </w:r>
          </w:p>
        </w:tc>
        <w:tc>
          <w:tcPr>
            <w:tcW w:w="1242" w:type="dxa"/>
            <w:shd w:val="clear" w:color="auto" w:fill="FFFFFF"/>
            <w:vAlign w:val="center"/>
          </w:tcPr>
          <w:p w14:paraId="0136446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27.02 </w:t>
            </w:r>
          </w:p>
        </w:tc>
        <w:tc>
          <w:tcPr>
            <w:tcW w:w="1632" w:type="dxa"/>
            <w:shd w:val="clear" w:color="auto" w:fill="FFFFFF"/>
            <w:vAlign w:val="center"/>
          </w:tcPr>
          <w:p w14:paraId="2163BEF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4.05 </w:t>
            </w:r>
          </w:p>
        </w:tc>
      </w:tr>
      <w:tr w14:paraId="2619D4C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4A91BAE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59" w:type="dxa"/>
            <w:shd w:val="clear" w:color="auto" w:fill="FFFFFF"/>
            <w:vAlign w:val="center"/>
          </w:tcPr>
          <w:p w14:paraId="3B581D1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机械费</w:t>
            </w:r>
          </w:p>
        </w:tc>
        <w:tc>
          <w:tcPr>
            <w:tcW w:w="1397" w:type="dxa"/>
            <w:shd w:val="clear" w:color="auto" w:fill="FFFFFF"/>
            <w:vAlign w:val="center"/>
          </w:tcPr>
          <w:p w14:paraId="65A6D30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086" w:type="dxa"/>
            <w:shd w:val="clear" w:color="auto" w:fill="FFFFFF"/>
            <w:vAlign w:val="center"/>
          </w:tcPr>
          <w:p w14:paraId="2B50B66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6B35FCD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354B3F5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142.87 </w:t>
            </w:r>
          </w:p>
        </w:tc>
      </w:tr>
      <w:tr w14:paraId="1B1572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A20D36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59" w:type="dxa"/>
            <w:shd w:val="clear" w:color="auto" w:fill="FFFFFF"/>
            <w:vAlign w:val="center"/>
          </w:tcPr>
          <w:p w14:paraId="231FF638">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挖掘机油动1</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397" w:type="dxa"/>
            <w:shd w:val="clear" w:color="auto" w:fill="FFFFFF"/>
            <w:vAlign w:val="center"/>
          </w:tcPr>
          <w:p w14:paraId="47288DF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台班</w:t>
            </w:r>
          </w:p>
        </w:tc>
        <w:tc>
          <w:tcPr>
            <w:tcW w:w="1086" w:type="dxa"/>
            <w:shd w:val="clear" w:color="auto" w:fill="FFFFFF"/>
            <w:vAlign w:val="center"/>
          </w:tcPr>
          <w:p w14:paraId="3A8F4EF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0.16</w:t>
            </w:r>
          </w:p>
        </w:tc>
        <w:tc>
          <w:tcPr>
            <w:tcW w:w="1242" w:type="dxa"/>
            <w:shd w:val="clear" w:color="auto" w:fill="FFFFFF"/>
            <w:vAlign w:val="center"/>
          </w:tcPr>
          <w:p w14:paraId="3B5D213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776.49 </w:t>
            </w:r>
          </w:p>
        </w:tc>
        <w:tc>
          <w:tcPr>
            <w:tcW w:w="1632" w:type="dxa"/>
            <w:shd w:val="clear" w:color="auto" w:fill="FFFFFF"/>
            <w:vAlign w:val="center"/>
          </w:tcPr>
          <w:p w14:paraId="1E68C38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124.24 </w:t>
            </w:r>
          </w:p>
        </w:tc>
      </w:tr>
      <w:tr w14:paraId="37E77EC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D926E4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59" w:type="dxa"/>
            <w:shd w:val="clear" w:color="auto" w:fill="FFFFFF"/>
            <w:vAlign w:val="center"/>
          </w:tcPr>
          <w:p w14:paraId="281A214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其他机械费</w:t>
            </w:r>
          </w:p>
        </w:tc>
        <w:tc>
          <w:tcPr>
            <w:tcW w:w="1397" w:type="dxa"/>
            <w:shd w:val="clear" w:color="auto" w:fill="FFFFFF"/>
            <w:vAlign w:val="center"/>
          </w:tcPr>
          <w:p w14:paraId="56B2B5A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86" w:type="dxa"/>
            <w:shd w:val="clear" w:color="auto" w:fill="FFFFFF"/>
            <w:vAlign w:val="center"/>
          </w:tcPr>
          <w:p w14:paraId="7672179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15</w:t>
            </w:r>
          </w:p>
        </w:tc>
        <w:tc>
          <w:tcPr>
            <w:tcW w:w="1242" w:type="dxa"/>
            <w:shd w:val="clear" w:color="auto" w:fill="FFFFFF"/>
            <w:vAlign w:val="center"/>
          </w:tcPr>
          <w:p w14:paraId="5BD4E3B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124.24 </w:t>
            </w:r>
          </w:p>
        </w:tc>
        <w:tc>
          <w:tcPr>
            <w:tcW w:w="1632" w:type="dxa"/>
            <w:shd w:val="clear" w:color="auto" w:fill="FFFFFF"/>
            <w:vAlign w:val="center"/>
          </w:tcPr>
          <w:p w14:paraId="3B185EF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18.64 </w:t>
            </w:r>
          </w:p>
        </w:tc>
      </w:tr>
      <w:tr w14:paraId="0075AB6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777B306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559" w:type="dxa"/>
            <w:shd w:val="clear" w:color="auto" w:fill="FFFFFF"/>
            <w:vAlign w:val="center"/>
          </w:tcPr>
          <w:p w14:paraId="42BDF16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措施费</w:t>
            </w:r>
          </w:p>
        </w:tc>
        <w:tc>
          <w:tcPr>
            <w:tcW w:w="1397" w:type="dxa"/>
            <w:shd w:val="clear" w:color="auto" w:fill="FFFFFF"/>
            <w:vAlign w:val="center"/>
          </w:tcPr>
          <w:p w14:paraId="648D558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86" w:type="dxa"/>
            <w:shd w:val="clear" w:color="auto" w:fill="FFFFFF"/>
            <w:vAlign w:val="center"/>
          </w:tcPr>
          <w:p w14:paraId="38BF202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242" w:type="dxa"/>
            <w:shd w:val="clear" w:color="auto" w:fill="FFFFFF"/>
            <w:vAlign w:val="center"/>
          </w:tcPr>
          <w:p w14:paraId="471FB8E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173.94 </w:t>
            </w:r>
          </w:p>
        </w:tc>
        <w:tc>
          <w:tcPr>
            <w:tcW w:w="1632" w:type="dxa"/>
            <w:shd w:val="clear" w:color="auto" w:fill="FFFFFF"/>
            <w:vAlign w:val="center"/>
          </w:tcPr>
          <w:p w14:paraId="36BAC34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8.70 </w:t>
            </w:r>
          </w:p>
        </w:tc>
      </w:tr>
      <w:tr w14:paraId="55A166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F86BD9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559" w:type="dxa"/>
            <w:shd w:val="clear" w:color="auto" w:fill="FFFFFF"/>
            <w:vAlign w:val="center"/>
          </w:tcPr>
          <w:p w14:paraId="03180C3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间接费</w:t>
            </w:r>
          </w:p>
        </w:tc>
        <w:tc>
          <w:tcPr>
            <w:tcW w:w="1397" w:type="dxa"/>
            <w:shd w:val="clear" w:color="auto" w:fill="FFFFFF"/>
            <w:vAlign w:val="center"/>
          </w:tcPr>
          <w:p w14:paraId="7714A7F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86" w:type="dxa"/>
            <w:shd w:val="clear" w:color="auto" w:fill="FFFFFF"/>
            <w:vAlign w:val="center"/>
          </w:tcPr>
          <w:p w14:paraId="31D86B8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242" w:type="dxa"/>
            <w:shd w:val="clear" w:color="auto" w:fill="FFFFFF"/>
            <w:vAlign w:val="center"/>
          </w:tcPr>
          <w:p w14:paraId="3534562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182.64 </w:t>
            </w:r>
          </w:p>
        </w:tc>
        <w:tc>
          <w:tcPr>
            <w:tcW w:w="1632" w:type="dxa"/>
            <w:shd w:val="clear" w:color="auto" w:fill="FFFFFF"/>
            <w:vAlign w:val="center"/>
          </w:tcPr>
          <w:p w14:paraId="5ADB153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9.13 </w:t>
            </w:r>
          </w:p>
        </w:tc>
      </w:tr>
      <w:tr w14:paraId="3EF5347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631CC6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w:t>
            </w:r>
          </w:p>
        </w:tc>
        <w:tc>
          <w:tcPr>
            <w:tcW w:w="2559" w:type="dxa"/>
            <w:shd w:val="clear" w:color="auto" w:fill="FFFFFF"/>
            <w:vAlign w:val="center"/>
          </w:tcPr>
          <w:p w14:paraId="77E0555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利润</w:t>
            </w:r>
          </w:p>
        </w:tc>
        <w:tc>
          <w:tcPr>
            <w:tcW w:w="1397" w:type="dxa"/>
            <w:shd w:val="clear" w:color="auto" w:fill="FFFFFF"/>
            <w:vAlign w:val="center"/>
          </w:tcPr>
          <w:p w14:paraId="014B0ED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86" w:type="dxa"/>
            <w:shd w:val="clear" w:color="auto" w:fill="FFFFFF"/>
            <w:vAlign w:val="center"/>
          </w:tcPr>
          <w:p w14:paraId="6DD05CF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w:t>
            </w:r>
          </w:p>
        </w:tc>
        <w:tc>
          <w:tcPr>
            <w:tcW w:w="1242" w:type="dxa"/>
            <w:shd w:val="clear" w:color="auto" w:fill="FFFFFF"/>
            <w:vAlign w:val="center"/>
          </w:tcPr>
          <w:p w14:paraId="765710E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191.77 </w:t>
            </w:r>
          </w:p>
        </w:tc>
        <w:tc>
          <w:tcPr>
            <w:tcW w:w="1632" w:type="dxa"/>
            <w:shd w:val="clear" w:color="auto" w:fill="FFFFFF"/>
            <w:vAlign w:val="center"/>
          </w:tcPr>
          <w:p w14:paraId="71C736F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13.42 </w:t>
            </w:r>
          </w:p>
        </w:tc>
      </w:tr>
      <w:tr w14:paraId="67E0F3D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7A54D5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四</w:t>
            </w:r>
          </w:p>
        </w:tc>
        <w:tc>
          <w:tcPr>
            <w:tcW w:w="2559" w:type="dxa"/>
            <w:shd w:val="clear" w:color="auto" w:fill="FFFFFF"/>
            <w:vAlign w:val="center"/>
          </w:tcPr>
          <w:p w14:paraId="41E6C2C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材料价差</w:t>
            </w:r>
          </w:p>
        </w:tc>
        <w:tc>
          <w:tcPr>
            <w:tcW w:w="1397" w:type="dxa"/>
            <w:shd w:val="clear" w:color="auto" w:fill="FFFFFF"/>
            <w:vAlign w:val="center"/>
          </w:tcPr>
          <w:p w14:paraId="07D2F90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086" w:type="dxa"/>
            <w:shd w:val="clear" w:color="auto" w:fill="FFFFFF"/>
            <w:vAlign w:val="center"/>
          </w:tcPr>
          <w:p w14:paraId="4B9DC12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18EEECF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1EE6171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6E1081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0975B01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59" w:type="dxa"/>
            <w:shd w:val="clear" w:color="auto" w:fill="FFFFFF"/>
            <w:vAlign w:val="center"/>
          </w:tcPr>
          <w:p w14:paraId="63E5C42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柴油</w:t>
            </w:r>
          </w:p>
        </w:tc>
        <w:tc>
          <w:tcPr>
            <w:tcW w:w="1397" w:type="dxa"/>
            <w:shd w:val="clear" w:color="auto" w:fill="FFFFFF"/>
            <w:vAlign w:val="center"/>
          </w:tcPr>
          <w:p w14:paraId="787687D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kg</w:t>
            </w:r>
          </w:p>
        </w:tc>
        <w:tc>
          <w:tcPr>
            <w:tcW w:w="1086" w:type="dxa"/>
            <w:shd w:val="clear" w:color="auto" w:fill="FFFFFF"/>
            <w:vAlign w:val="center"/>
          </w:tcPr>
          <w:p w14:paraId="37B51E4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11.52</w:t>
            </w:r>
          </w:p>
        </w:tc>
        <w:tc>
          <w:tcPr>
            <w:tcW w:w="1242" w:type="dxa"/>
            <w:shd w:val="clear" w:color="auto" w:fill="FFFFFF"/>
            <w:vAlign w:val="center"/>
          </w:tcPr>
          <w:p w14:paraId="602C498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3.25 </w:t>
            </w:r>
          </w:p>
        </w:tc>
        <w:tc>
          <w:tcPr>
            <w:tcW w:w="1632" w:type="dxa"/>
            <w:shd w:val="clear" w:color="auto" w:fill="FFFFFF"/>
            <w:vAlign w:val="center"/>
          </w:tcPr>
          <w:p w14:paraId="3211E36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37.44 </w:t>
            </w:r>
          </w:p>
        </w:tc>
      </w:tr>
      <w:tr w14:paraId="0C881AF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3A46D3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五</w:t>
            </w:r>
          </w:p>
        </w:tc>
        <w:tc>
          <w:tcPr>
            <w:tcW w:w="2559" w:type="dxa"/>
            <w:shd w:val="clear" w:color="auto" w:fill="FFFFFF"/>
            <w:vAlign w:val="center"/>
          </w:tcPr>
          <w:p w14:paraId="28CA6F8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未计价材料费</w:t>
            </w:r>
          </w:p>
        </w:tc>
        <w:tc>
          <w:tcPr>
            <w:tcW w:w="1397" w:type="dxa"/>
            <w:shd w:val="clear" w:color="auto" w:fill="FFFFFF"/>
            <w:vAlign w:val="center"/>
          </w:tcPr>
          <w:p w14:paraId="7D3D0C9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086" w:type="dxa"/>
            <w:shd w:val="clear" w:color="auto" w:fill="FFFFFF"/>
            <w:vAlign w:val="center"/>
          </w:tcPr>
          <w:p w14:paraId="3405FEE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42" w:type="dxa"/>
            <w:shd w:val="clear" w:color="auto" w:fill="FFFFFF"/>
            <w:vAlign w:val="center"/>
          </w:tcPr>
          <w:p w14:paraId="1882729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11D86D4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677FEEB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426EFF5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六</w:t>
            </w:r>
          </w:p>
        </w:tc>
        <w:tc>
          <w:tcPr>
            <w:tcW w:w="2559" w:type="dxa"/>
            <w:shd w:val="clear" w:color="auto" w:fill="FFFFFF"/>
            <w:vAlign w:val="center"/>
          </w:tcPr>
          <w:p w14:paraId="2C74DCF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税金</w:t>
            </w:r>
          </w:p>
        </w:tc>
        <w:tc>
          <w:tcPr>
            <w:tcW w:w="1397" w:type="dxa"/>
            <w:shd w:val="clear" w:color="auto" w:fill="FFFFFF"/>
            <w:vAlign w:val="center"/>
          </w:tcPr>
          <w:p w14:paraId="09ACB1C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086" w:type="dxa"/>
            <w:shd w:val="clear" w:color="auto" w:fill="FFFFFF"/>
            <w:vAlign w:val="bottom"/>
          </w:tcPr>
          <w:p w14:paraId="08DE63C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w:t>
            </w:r>
          </w:p>
        </w:tc>
        <w:tc>
          <w:tcPr>
            <w:tcW w:w="1242" w:type="dxa"/>
            <w:shd w:val="clear" w:color="auto" w:fill="FFFFFF"/>
            <w:vAlign w:val="center"/>
          </w:tcPr>
          <w:p w14:paraId="6628CEB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242.64 </w:t>
            </w:r>
          </w:p>
        </w:tc>
        <w:tc>
          <w:tcPr>
            <w:tcW w:w="1632" w:type="dxa"/>
            <w:shd w:val="clear" w:color="auto" w:fill="FFFFFF"/>
            <w:vAlign w:val="center"/>
          </w:tcPr>
          <w:p w14:paraId="01A1EAC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21.84 </w:t>
            </w:r>
          </w:p>
        </w:tc>
      </w:tr>
      <w:tr w14:paraId="2CC057F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tcBorders>
              <w:right w:val="single" w:color="000000" w:sz="4" w:space="0"/>
            </w:tcBorders>
            <w:shd w:val="clear" w:color="auto" w:fill="FFFFFF"/>
            <w:vAlign w:val="center"/>
          </w:tcPr>
          <w:p w14:paraId="468BFEC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2559" w:type="dxa"/>
            <w:tcBorders>
              <w:left w:val="single" w:color="000000" w:sz="4" w:space="0"/>
            </w:tcBorders>
            <w:shd w:val="clear" w:color="auto" w:fill="FFFFFF"/>
            <w:vAlign w:val="center"/>
          </w:tcPr>
          <w:p w14:paraId="25386B4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397" w:type="dxa"/>
            <w:shd w:val="clear" w:color="auto" w:fill="FFFFFF"/>
            <w:vAlign w:val="center"/>
          </w:tcPr>
          <w:p w14:paraId="48BE68F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086" w:type="dxa"/>
            <w:shd w:val="clear" w:color="auto" w:fill="FFFFFF"/>
            <w:vAlign w:val="center"/>
          </w:tcPr>
          <w:p w14:paraId="45542B43">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42" w:type="dxa"/>
            <w:shd w:val="clear" w:color="auto" w:fill="FFFFFF"/>
            <w:vAlign w:val="center"/>
          </w:tcPr>
          <w:p w14:paraId="482A520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632" w:type="dxa"/>
            <w:shd w:val="clear" w:color="auto" w:fill="FFFFFF"/>
            <w:vAlign w:val="center"/>
          </w:tcPr>
          <w:p w14:paraId="5E6CF5C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264.48 </w:t>
            </w:r>
          </w:p>
        </w:tc>
      </w:tr>
    </w:tbl>
    <w:p w14:paraId="16EC1F51">
      <w:pPr>
        <w:tabs>
          <w:tab w:val="left" w:pos="3403"/>
        </w:tabs>
        <w:spacing w:before="28"/>
        <w:ind w:left="2" w:right="44"/>
        <w:jc w:val="center"/>
        <w:rPr>
          <w:rFonts w:ascii="Times New Roman" w:hAnsi="Times New Roman" w:cs="Times New Roman"/>
          <w:b/>
          <w:color w:val="000000" w:themeColor="text1"/>
          <w:sz w:val="24"/>
          <w:szCs w:val="24"/>
        </w:rPr>
      </w:pPr>
    </w:p>
    <w:p w14:paraId="77CA06AD">
      <w:pPr>
        <w:tabs>
          <w:tab w:val="left" w:pos="3403"/>
        </w:tabs>
        <w:spacing w:before="28"/>
        <w:ind w:left="2" w:right="44"/>
        <w:jc w:val="center"/>
        <w:rPr>
          <w:rFonts w:ascii="Times New Roman" w:hAnsi="Times New Roman" w:cs="Times New Roman"/>
          <w:b/>
          <w:color w:val="000000" w:themeColor="text1"/>
          <w:sz w:val="24"/>
          <w:szCs w:val="24"/>
        </w:rPr>
      </w:pPr>
    </w:p>
    <w:p w14:paraId="3B200372">
      <w:pPr>
        <w:tabs>
          <w:tab w:val="left" w:pos="3403"/>
        </w:tabs>
        <w:spacing w:before="28"/>
        <w:ind w:left="2" w:right="44"/>
        <w:jc w:val="center"/>
        <w:rPr>
          <w:rFonts w:ascii="Times New Roman" w:hAnsi="Times New Roman" w:cs="Times New Roman"/>
          <w:b/>
          <w:color w:val="000000" w:themeColor="text1"/>
          <w:sz w:val="24"/>
          <w:szCs w:val="24"/>
        </w:rPr>
      </w:pPr>
    </w:p>
    <w:p w14:paraId="6CCADAE3">
      <w:pPr>
        <w:tabs>
          <w:tab w:val="left" w:pos="3403"/>
        </w:tabs>
        <w:spacing w:before="28"/>
        <w:ind w:left="2" w:right="44"/>
        <w:jc w:val="center"/>
        <w:rPr>
          <w:rFonts w:ascii="Times New Roman" w:hAnsi="Times New Roman" w:cs="Times New Roman"/>
          <w:b/>
          <w:color w:val="000000" w:themeColor="text1"/>
          <w:sz w:val="24"/>
          <w:szCs w:val="24"/>
        </w:rPr>
      </w:pPr>
    </w:p>
    <w:p w14:paraId="786E6013">
      <w:pPr>
        <w:tabs>
          <w:tab w:val="left" w:pos="3403"/>
        </w:tabs>
        <w:spacing w:before="28"/>
        <w:ind w:left="2" w:right="44"/>
        <w:jc w:val="center"/>
        <w:rPr>
          <w:rFonts w:ascii="Times New Roman" w:hAnsi="Times New Roman" w:cs="Times New Roman"/>
          <w:b/>
          <w:color w:val="000000" w:themeColor="text1"/>
          <w:sz w:val="24"/>
          <w:szCs w:val="24"/>
        </w:rPr>
      </w:pPr>
    </w:p>
    <w:p w14:paraId="0C3D0268">
      <w:pPr>
        <w:tabs>
          <w:tab w:val="left" w:pos="3403"/>
        </w:tabs>
        <w:spacing w:before="28"/>
        <w:ind w:left="2" w:right="44"/>
        <w:jc w:val="center"/>
        <w:rPr>
          <w:rFonts w:ascii="Times New Roman" w:hAnsi="Times New Roman" w:cs="Times New Roman"/>
          <w:b/>
          <w:color w:val="000000" w:themeColor="text1"/>
          <w:sz w:val="24"/>
          <w:szCs w:val="24"/>
        </w:rPr>
      </w:pPr>
    </w:p>
    <w:p w14:paraId="000A47D8">
      <w:pPr>
        <w:tabs>
          <w:tab w:val="left" w:pos="3403"/>
        </w:tabs>
        <w:spacing w:before="28"/>
        <w:ind w:left="2" w:right="44"/>
        <w:jc w:val="center"/>
        <w:rPr>
          <w:rFonts w:ascii="Times New Roman" w:hAnsi="Times New Roman" w:cs="Times New Roman"/>
          <w:b/>
          <w:color w:val="000000" w:themeColor="text1"/>
          <w:sz w:val="24"/>
          <w:szCs w:val="24"/>
        </w:rPr>
      </w:pPr>
    </w:p>
    <w:p w14:paraId="655C44B3">
      <w:pPr>
        <w:tabs>
          <w:tab w:val="left" w:pos="3403"/>
        </w:tabs>
        <w:spacing w:before="28"/>
        <w:ind w:left="2" w:right="44"/>
        <w:jc w:val="center"/>
        <w:rPr>
          <w:rFonts w:ascii="Times New Roman" w:hAnsi="Times New Roman" w:cs="Times New Roman"/>
          <w:b/>
          <w:color w:val="000000" w:themeColor="text1"/>
          <w:sz w:val="24"/>
          <w:szCs w:val="24"/>
        </w:rPr>
      </w:pPr>
    </w:p>
    <w:p w14:paraId="1AC824E5">
      <w:pPr>
        <w:tabs>
          <w:tab w:val="left" w:pos="3403"/>
        </w:tabs>
        <w:spacing w:before="28"/>
        <w:ind w:left="2" w:right="44"/>
        <w:jc w:val="center"/>
        <w:rPr>
          <w:rFonts w:ascii="Times New Roman" w:hAnsi="Times New Roman" w:cs="Times New Roman"/>
          <w:b/>
          <w:color w:val="000000" w:themeColor="text1"/>
          <w:sz w:val="24"/>
          <w:szCs w:val="24"/>
        </w:rPr>
      </w:pPr>
    </w:p>
    <w:p w14:paraId="3769E020">
      <w:pPr>
        <w:tabs>
          <w:tab w:val="left" w:pos="3403"/>
        </w:tabs>
        <w:spacing w:before="28"/>
        <w:ind w:left="2" w:right="44"/>
        <w:jc w:val="center"/>
        <w:rPr>
          <w:rFonts w:ascii="Times New Roman" w:hAnsi="Times New Roman" w:cs="Times New Roman"/>
          <w:b/>
          <w:color w:val="000000" w:themeColor="text1"/>
          <w:sz w:val="24"/>
          <w:szCs w:val="24"/>
        </w:rPr>
      </w:pPr>
    </w:p>
    <w:p w14:paraId="0404D8FD">
      <w:pPr>
        <w:tabs>
          <w:tab w:val="left" w:pos="3403"/>
        </w:tabs>
        <w:spacing w:before="28"/>
        <w:ind w:left="2" w:right="44"/>
        <w:jc w:val="center"/>
        <w:rPr>
          <w:rFonts w:ascii="Times New Roman" w:hAnsi="Times New Roman" w:cs="Times New Roman"/>
          <w:b/>
          <w:color w:val="000000" w:themeColor="text1"/>
          <w:sz w:val="24"/>
          <w:szCs w:val="24"/>
        </w:rPr>
      </w:pPr>
    </w:p>
    <w:p w14:paraId="02E6CFE5">
      <w:pPr>
        <w:tabs>
          <w:tab w:val="left" w:pos="3403"/>
        </w:tabs>
        <w:spacing w:before="28"/>
        <w:ind w:left="2" w:right="44"/>
        <w:jc w:val="center"/>
        <w:rPr>
          <w:rFonts w:ascii="Times New Roman" w:hAnsi="Times New Roman" w:cs="Times New Roman"/>
          <w:b/>
          <w:color w:val="000000" w:themeColor="text1"/>
          <w:sz w:val="24"/>
          <w:szCs w:val="24"/>
        </w:rPr>
      </w:pPr>
    </w:p>
    <w:p w14:paraId="23EFAB80">
      <w:pPr>
        <w:tabs>
          <w:tab w:val="left" w:pos="3403"/>
        </w:tabs>
        <w:spacing w:before="28"/>
        <w:ind w:left="2" w:right="44"/>
        <w:jc w:val="center"/>
        <w:rPr>
          <w:rFonts w:ascii="Times New Roman" w:hAnsi="Times New Roman" w:cs="Times New Roman"/>
          <w:b/>
          <w:color w:val="000000" w:themeColor="text1"/>
          <w:sz w:val="24"/>
          <w:szCs w:val="24"/>
        </w:rPr>
      </w:pPr>
    </w:p>
    <w:p w14:paraId="591946B0">
      <w:pPr>
        <w:tabs>
          <w:tab w:val="left" w:pos="3403"/>
        </w:tabs>
        <w:spacing w:before="28"/>
        <w:ind w:left="2" w:right="44"/>
        <w:jc w:val="center"/>
        <w:rPr>
          <w:rFonts w:ascii="Times New Roman" w:hAnsi="Times New Roman" w:cs="Times New Roman"/>
          <w:b/>
          <w:color w:val="000000" w:themeColor="text1"/>
          <w:sz w:val="24"/>
          <w:szCs w:val="24"/>
        </w:rPr>
      </w:pPr>
    </w:p>
    <w:p w14:paraId="051B74B5">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表6-1</w:t>
      </w:r>
      <w:r>
        <w:rPr>
          <w:rFonts w:hint="eastAsia" w:ascii="Times New Roman" w:hAnsi="Times New Roman" w:cs="Times New Roman"/>
          <w:b/>
          <w:color w:val="000000" w:themeColor="text1"/>
          <w:sz w:val="24"/>
          <w:szCs w:val="24"/>
        </w:rPr>
        <w:t>8</w:t>
      </w:r>
      <w:r>
        <w:rPr>
          <w:rFonts w:ascii="Times New Roman" w:hAnsi="Times New Roman" w:cs="Times New Roman"/>
          <w:b/>
          <w:color w:val="000000" w:themeColor="text1"/>
          <w:sz w:val="24"/>
          <w:szCs w:val="24"/>
        </w:rPr>
        <w:t xml:space="preserve"> 石笼</w:t>
      </w:r>
    </w:p>
    <w:p w14:paraId="0B70B37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定额编号：3-066                                      定额单位：100</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r>
        <w:rPr>
          <w:rFonts w:ascii="Times New Roman" w:hAnsi="Times New Roman" w:cs="Times New Roman"/>
          <w:color w:val="000000" w:themeColor="text1"/>
          <w:kern w:val="0"/>
          <w:sz w:val="24"/>
          <w:szCs w:val="24"/>
        </w:rPr>
        <w:t>抛投方</w:t>
      </w:r>
    </w:p>
    <w:p w14:paraId="0C0CE1D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工作内容：编笼、安放、运石装填、封口、整平。                   金额单位：元</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149"/>
        <w:gridCol w:w="2552"/>
        <w:gridCol w:w="1417"/>
        <w:gridCol w:w="1134"/>
        <w:gridCol w:w="1276"/>
        <w:gridCol w:w="1572"/>
      </w:tblGrid>
      <w:tr w14:paraId="1A1B09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70DC8B0C">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编号</w:t>
            </w:r>
          </w:p>
        </w:tc>
        <w:tc>
          <w:tcPr>
            <w:tcW w:w="2552" w:type="dxa"/>
            <w:vAlign w:val="center"/>
          </w:tcPr>
          <w:p w14:paraId="6F059564">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项目名称</w:t>
            </w:r>
          </w:p>
        </w:tc>
        <w:tc>
          <w:tcPr>
            <w:tcW w:w="1417" w:type="dxa"/>
            <w:vAlign w:val="center"/>
          </w:tcPr>
          <w:p w14:paraId="48F25C23">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单位</w:t>
            </w:r>
          </w:p>
        </w:tc>
        <w:tc>
          <w:tcPr>
            <w:tcW w:w="1134" w:type="dxa"/>
            <w:vAlign w:val="center"/>
          </w:tcPr>
          <w:p w14:paraId="58C83885">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数量</w:t>
            </w:r>
          </w:p>
        </w:tc>
        <w:tc>
          <w:tcPr>
            <w:tcW w:w="1276" w:type="dxa"/>
            <w:vAlign w:val="center"/>
          </w:tcPr>
          <w:p w14:paraId="657D849C">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单价</w:t>
            </w:r>
          </w:p>
        </w:tc>
        <w:tc>
          <w:tcPr>
            <w:tcW w:w="1572" w:type="dxa"/>
            <w:vAlign w:val="center"/>
          </w:tcPr>
          <w:p w14:paraId="173B893F">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小计</w:t>
            </w:r>
          </w:p>
        </w:tc>
      </w:tr>
      <w:tr w14:paraId="27F093A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079AD6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552" w:type="dxa"/>
            <w:vAlign w:val="center"/>
          </w:tcPr>
          <w:p w14:paraId="49F90ED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直接费</w:t>
            </w:r>
          </w:p>
        </w:tc>
        <w:tc>
          <w:tcPr>
            <w:tcW w:w="1417" w:type="dxa"/>
            <w:vAlign w:val="center"/>
          </w:tcPr>
          <w:p w14:paraId="7E333A1A">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38D104B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3B17C91D">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572" w:type="dxa"/>
            <w:vAlign w:val="center"/>
          </w:tcPr>
          <w:p w14:paraId="48AB6B7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17044.93</w:t>
            </w:r>
          </w:p>
        </w:tc>
      </w:tr>
      <w:tr w14:paraId="382EE2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EB2BC7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552" w:type="dxa"/>
            <w:vAlign w:val="center"/>
          </w:tcPr>
          <w:p w14:paraId="1390C8E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直接工程费</w:t>
            </w:r>
          </w:p>
        </w:tc>
        <w:tc>
          <w:tcPr>
            <w:tcW w:w="1417" w:type="dxa"/>
            <w:vAlign w:val="center"/>
          </w:tcPr>
          <w:p w14:paraId="7EA1F66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6EE7817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211D2BB1">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572" w:type="dxa"/>
            <w:vAlign w:val="center"/>
          </w:tcPr>
          <w:p w14:paraId="5DD0F6B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16233.27</w:t>
            </w:r>
          </w:p>
        </w:tc>
      </w:tr>
      <w:tr w14:paraId="471F62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14296F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52" w:type="dxa"/>
            <w:vAlign w:val="center"/>
          </w:tcPr>
          <w:p w14:paraId="556AB1A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人工费</w:t>
            </w:r>
          </w:p>
        </w:tc>
        <w:tc>
          <w:tcPr>
            <w:tcW w:w="1417" w:type="dxa"/>
            <w:vAlign w:val="center"/>
          </w:tcPr>
          <w:p w14:paraId="6D26E431">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467C5A1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05824AF2">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572" w:type="dxa"/>
            <w:vAlign w:val="center"/>
          </w:tcPr>
          <w:p w14:paraId="12892CA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3768.87</w:t>
            </w:r>
          </w:p>
        </w:tc>
      </w:tr>
      <w:tr w14:paraId="5B5837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379BDCE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52" w:type="dxa"/>
            <w:vAlign w:val="center"/>
          </w:tcPr>
          <w:p w14:paraId="5AC711E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甲类工</w:t>
            </w:r>
          </w:p>
        </w:tc>
        <w:tc>
          <w:tcPr>
            <w:tcW w:w="1417" w:type="dxa"/>
            <w:vAlign w:val="center"/>
          </w:tcPr>
          <w:p w14:paraId="253402D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134" w:type="dxa"/>
            <w:vAlign w:val="center"/>
          </w:tcPr>
          <w:p w14:paraId="516C5FF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4.0</w:t>
            </w:r>
          </w:p>
        </w:tc>
        <w:tc>
          <w:tcPr>
            <w:tcW w:w="1276" w:type="dxa"/>
            <w:vAlign w:val="center"/>
          </w:tcPr>
          <w:p w14:paraId="136F8F0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58.04</w:t>
            </w:r>
          </w:p>
        </w:tc>
        <w:tc>
          <w:tcPr>
            <w:tcW w:w="1572" w:type="dxa"/>
            <w:vAlign w:val="center"/>
          </w:tcPr>
          <w:p w14:paraId="59B5A4F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232.16</w:t>
            </w:r>
          </w:p>
        </w:tc>
      </w:tr>
      <w:tr w14:paraId="6AA189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7876B8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52" w:type="dxa"/>
            <w:vAlign w:val="center"/>
          </w:tcPr>
          <w:p w14:paraId="5DEC8CF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乙类工</w:t>
            </w:r>
          </w:p>
        </w:tc>
        <w:tc>
          <w:tcPr>
            <w:tcW w:w="1417" w:type="dxa"/>
            <w:vAlign w:val="center"/>
          </w:tcPr>
          <w:p w14:paraId="1B83DC6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134" w:type="dxa"/>
            <w:vAlign w:val="center"/>
          </w:tcPr>
          <w:p w14:paraId="470E55F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76.90</w:t>
            </w:r>
          </w:p>
        </w:tc>
        <w:tc>
          <w:tcPr>
            <w:tcW w:w="1276" w:type="dxa"/>
            <w:vAlign w:val="center"/>
          </w:tcPr>
          <w:p w14:paraId="1515A00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45.03</w:t>
            </w:r>
          </w:p>
        </w:tc>
        <w:tc>
          <w:tcPr>
            <w:tcW w:w="1572" w:type="dxa"/>
            <w:vAlign w:val="center"/>
          </w:tcPr>
          <w:p w14:paraId="00AAA17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3462.81</w:t>
            </w:r>
          </w:p>
        </w:tc>
      </w:tr>
      <w:tr w14:paraId="151F76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7893F4A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552" w:type="dxa"/>
            <w:vAlign w:val="center"/>
          </w:tcPr>
          <w:p w14:paraId="0C7F2F3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其他人工费</w:t>
            </w:r>
          </w:p>
        </w:tc>
        <w:tc>
          <w:tcPr>
            <w:tcW w:w="1417" w:type="dxa"/>
            <w:vAlign w:val="center"/>
          </w:tcPr>
          <w:p w14:paraId="441A597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4" w:type="dxa"/>
            <w:vAlign w:val="center"/>
          </w:tcPr>
          <w:p w14:paraId="7BDEE7E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2.00</w:t>
            </w:r>
          </w:p>
        </w:tc>
        <w:tc>
          <w:tcPr>
            <w:tcW w:w="1276" w:type="dxa"/>
            <w:vAlign w:val="center"/>
          </w:tcPr>
          <w:p w14:paraId="067EF8C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3694.97</w:t>
            </w:r>
          </w:p>
        </w:tc>
        <w:tc>
          <w:tcPr>
            <w:tcW w:w="1572" w:type="dxa"/>
            <w:vAlign w:val="center"/>
          </w:tcPr>
          <w:p w14:paraId="13842C3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73.90</w:t>
            </w:r>
          </w:p>
        </w:tc>
      </w:tr>
      <w:tr w14:paraId="48F0A7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4CB978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52" w:type="dxa"/>
            <w:vAlign w:val="center"/>
          </w:tcPr>
          <w:p w14:paraId="65E5988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材料费</w:t>
            </w:r>
          </w:p>
        </w:tc>
        <w:tc>
          <w:tcPr>
            <w:tcW w:w="1417" w:type="dxa"/>
            <w:vAlign w:val="center"/>
          </w:tcPr>
          <w:p w14:paraId="590CA4A1">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7A3F4CB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221B372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572" w:type="dxa"/>
            <w:vAlign w:val="center"/>
          </w:tcPr>
          <w:p w14:paraId="74AA06B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12464.40</w:t>
            </w:r>
          </w:p>
        </w:tc>
      </w:tr>
      <w:tr w14:paraId="47294E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38E7866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52" w:type="dxa"/>
            <w:vAlign w:val="center"/>
          </w:tcPr>
          <w:p w14:paraId="64C7612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块石</w:t>
            </w:r>
          </w:p>
        </w:tc>
        <w:tc>
          <w:tcPr>
            <w:tcW w:w="1417" w:type="dxa"/>
            <w:vAlign w:val="center"/>
          </w:tcPr>
          <w:p w14:paraId="4A32E240">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134" w:type="dxa"/>
            <w:vAlign w:val="center"/>
          </w:tcPr>
          <w:p w14:paraId="5234368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113.00</w:t>
            </w:r>
          </w:p>
        </w:tc>
        <w:tc>
          <w:tcPr>
            <w:tcW w:w="1276" w:type="dxa"/>
            <w:vAlign w:val="center"/>
          </w:tcPr>
          <w:p w14:paraId="748D431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60.00</w:t>
            </w:r>
          </w:p>
        </w:tc>
        <w:tc>
          <w:tcPr>
            <w:tcW w:w="1572" w:type="dxa"/>
            <w:vAlign w:val="center"/>
          </w:tcPr>
          <w:p w14:paraId="42D6AFB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6780.00</w:t>
            </w:r>
          </w:p>
        </w:tc>
      </w:tr>
      <w:tr w14:paraId="4C3392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1040CE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52" w:type="dxa"/>
            <w:vAlign w:val="center"/>
          </w:tcPr>
          <w:p w14:paraId="7DD3216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钢筋</w:t>
            </w:r>
          </w:p>
        </w:tc>
        <w:tc>
          <w:tcPr>
            <w:tcW w:w="1417" w:type="dxa"/>
            <w:vAlign w:val="center"/>
          </w:tcPr>
          <w:p w14:paraId="20C651B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t</w:t>
            </w:r>
          </w:p>
        </w:tc>
        <w:tc>
          <w:tcPr>
            <w:tcW w:w="1134" w:type="dxa"/>
            <w:vAlign w:val="center"/>
          </w:tcPr>
          <w:p w14:paraId="38F6519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1.70</w:t>
            </w:r>
          </w:p>
        </w:tc>
        <w:tc>
          <w:tcPr>
            <w:tcW w:w="1276" w:type="dxa"/>
            <w:vAlign w:val="center"/>
          </w:tcPr>
          <w:p w14:paraId="46DD8D1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3200.00</w:t>
            </w:r>
          </w:p>
        </w:tc>
        <w:tc>
          <w:tcPr>
            <w:tcW w:w="1572" w:type="dxa"/>
            <w:vAlign w:val="center"/>
          </w:tcPr>
          <w:p w14:paraId="7675E38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5440.00</w:t>
            </w:r>
          </w:p>
        </w:tc>
      </w:tr>
      <w:tr w14:paraId="12CC45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02C9AB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552" w:type="dxa"/>
            <w:vAlign w:val="center"/>
          </w:tcPr>
          <w:p w14:paraId="5F3ED2E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其他材料费</w:t>
            </w:r>
          </w:p>
        </w:tc>
        <w:tc>
          <w:tcPr>
            <w:tcW w:w="1417" w:type="dxa"/>
            <w:vAlign w:val="center"/>
          </w:tcPr>
          <w:p w14:paraId="5289E36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4" w:type="dxa"/>
            <w:vAlign w:val="center"/>
          </w:tcPr>
          <w:p w14:paraId="09AF1D1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2.00</w:t>
            </w:r>
          </w:p>
        </w:tc>
        <w:tc>
          <w:tcPr>
            <w:tcW w:w="1276" w:type="dxa"/>
            <w:vAlign w:val="center"/>
          </w:tcPr>
          <w:p w14:paraId="2C83984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12220.00</w:t>
            </w:r>
          </w:p>
        </w:tc>
        <w:tc>
          <w:tcPr>
            <w:tcW w:w="1572" w:type="dxa"/>
            <w:vAlign w:val="center"/>
          </w:tcPr>
          <w:p w14:paraId="663F729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244.40</w:t>
            </w:r>
          </w:p>
        </w:tc>
      </w:tr>
      <w:tr w14:paraId="3050B3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C01343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552" w:type="dxa"/>
            <w:vAlign w:val="center"/>
          </w:tcPr>
          <w:p w14:paraId="684FB73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措施费</w:t>
            </w:r>
          </w:p>
        </w:tc>
        <w:tc>
          <w:tcPr>
            <w:tcW w:w="1417" w:type="dxa"/>
            <w:vAlign w:val="center"/>
          </w:tcPr>
          <w:p w14:paraId="346E971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4" w:type="dxa"/>
            <w:vAlign w:val="center"/>
          </w:tcPr>
          <w:p w14:paraId="245A1FE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5.00</w:t>
            </w:r>
          </w:p>
        </w:tc>
        <w:tc>
          <w:tcPr>
            <w:tcW w:w="1276" w:type="dxa"/>
            <w:vAlign w:val="center"/>
          </w:tcPr>
          <w:p w14:paraId="1C4C125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16233.27</w:t>
            </w:r>
          </w:p>
        </w:tc>
        <w:tc>
          <w:tcPr>
            <w:tcW w:w="1572" w:type="dxa"/>
            <w:vAlign w:val="center"/>
          </w:tcPr>
          <w:p w14:paraId="48E24B4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811.66</w:t>
            </w:r>
          </w:p>
        </w:tc>
      </w:tr>
      <w:tr w14:paraId="192E9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0E872B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552" w:type="dxa"/>
            <w:vAlign w:val="center"/>
          </w:tcPr>
          <w:p w14:paraId="5F8B36F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间接费</w:t>
            </w:r>
          </w:p>
        </w:tc>
        <w:tc>
          <w:tcPr>
            <w:tcW w:w="1417" w:type="dxa"/>
            <w:vAlign w:val="center"/>
          </w:tcPr>
          <w:p w14:paraId="42BC5E7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4" w:type="dxa"/>
            <w:vAlign w:val="center"/>
          </w:tcPr>
          <w:p w14:paraId="219AA54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5.00</w:t>
            </w:r>
          </w:p>
        </w:tc>
        <w:tc>
          <w:tcPr>
            <w:tcW w:w="1276" w:type="dxa"/>
            <w:vAlign w:val="center"/>
          </w:tcPr>
          <w:p w14:paraId="693809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17044.93</w:t>
            </w:r>
          </w:p>
        </w:tc>
        <w:tc>
          <w:tcPr>
            <w:tcW w:w="1572" w:type="dxa"/>
            <w:vAlign w:val="center"/>
          </w:tcPr>
          <w:p w14:paraId="76EF98C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852.25</w:t>
            </w:r>
          </w:p>
        </w:tc>
      </w:tr>
      <w:tr w14:paraId="7C84F2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78E3E72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w:t>
            </w:r>
          </w:p>
        </w:tc>
        <w:tc>
          <w:tcPr>
            <w:tcW w:w="2552" w:type="dxa"/>
            <w:vAlign w:val="center"/>
          </w:tcPr>
          <w:p w14:paraId="690AC48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利润</w:t>
            </w:r>
          </w:p>
        </w:tc>
        <w:tc>
          <w:tcPr>
            <w:tcW w:w="1417" w:type="dxa"/>
            <w:vAlign w:val="center"/>
          </w:tcPr>
          <w:p w14:paraId="4895F89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4" w:type="dxa"/>
            <w:vAlign w:val="center"/>
          </w:tcPr>
          <w:p w14:paraId="3705913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7.00</w:t>
            </w:r>
          </w:p>
        </w:tc>
        <w:tc>
          <w:tcPr>
            <w:tcW w:w="1276" w:type="dxa"/>
            <w:vAlign w:val="center"/>
          </w:tcPr>
          <w:p w14:paraId="2D8BDB3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17897.18</w:t>
            </w:r>
          </w:p>
        </w:tc>
        <w:tc>
          <w:tcPr>
            <w:tcW w:w="1572" w:type="dxa"/>
            <w:vAlign w:val="center"/>
          </w:tcPr>
          <w:p w14:paraId="3C269DE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1252.80</w:t>
            </w:r>
          </w:p>
        </w:tc>
      </w:tr>
      <w:tr w14:paraId="7240D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9FEAF1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四</w:t>
            </w:r>
          </w:p>
        </w:tc>
        <w:tc>
          <w:tcPr>
            <w:tcW w:w="2552" w:type="dxa"/>
            <w:vAlign w:val="center"/>
          </w:tcPr>
          <w:p w14:paraId="01A034D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材料价差</w:t>
            </w:r>
          </w:p>
        </w:tc>
        <w:tc>
          <w:tcPr>
            <w:tcW w:w="1417" w:type="dxa"/>
            <w:vAlign w:val="center"/>
          </w:tcPr>
          <w:p w14:paraId="59848708">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5EFAA56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6F3A74FB">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572" w:type="dxa"/>
            <w:vAlign w:val="center"/>
          </w:tcPr>
          <w:p w14:paraId="49C1A8F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4278.18</w:t>
            </w:r>
          </w:p>
        </w:tc>
      </w:tr>
      <w:tr w14:paraId="13C2DB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69B0C5D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52" w:type="dxa"/>
            <w:vAlign w:val="center"/>
          </w:tcPr>
          <w:p w14:paraId="588A2E4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块石</w:t>
            </w:r>
          </w:p>
        </w:tc>
        <w:tc>
          <w:tcPr>
            <w:tcW w:w="1417" w:type="dxa"/>
            <w:vAlign w:val="center"/>
          </w:tcPr>
          <w:p w14:paraId="15483F4F">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134" w:type="dxa"/>
            <w:vAlign w:val="center"/>
          </w:tcPr>
          <w:p w14:paraId="7514516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113.00</w:t>
            </w:r>
          </w:p>
        </w:tc>
        <w:tc>
          <w:tcPr>
            <w:tcW w:w="1276" w:type="dxa"/>
            <w:vAlign w:val="center"/>
          </w:tcPr>
          <w:p w14:paraId="68804DC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37.86</w:t>
            </w:r>
          </w:p>
        </w:tc>
        <w:tc>
          <w:tcPr>
            <w:tcW w:w="1572" w:type="dxa"/>
            <w:vAlign w:val="center"/>
          </w:tcPr>
          <w:p w14:paraId="010E1D4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4278.18</w:t>
            </w:r>
          </w:p>
        </w:tc>
      </w:tr>
      <w:tr w14:paraId="085783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093BCD4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五</w:t>
            </w:r>
          </w:p>
        </w:tc>
        <w:tc>
          <w:tcPr>
            <w:tcW w:w="2552" w:type="dxa"/>
            <w:vAlign w:val="center"/>
          </w:tcPr>
          <w:p w14:paraId="05C3904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未计价材料费</w:t>
            </w:r>
          </w:p>
        </w:tc>
        <w:tc>
          <w:tcPr>
            <w:tcW w:w="1417" w:type="dxa"/>
            <w:vAlign w:val="center"/>
          </w:tcPr>
          <w:p w14:paraId="2F226A59">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0C7A524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5C79874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572" w:type="dxa"/>
            <w:vAlign w:val="center"/>
          </w:tcPr>
          <w:p w14:paraId="6BEBE84F">
            <w:pPr>
              <w:widowControl/>
              <w:topLinePunct/>
              <w:snapToGrid w:val="0"/>
              <w:spacing w:line="240" w:lineRule="auto"/>
              <w:jc w:val="center"/>
              <w:rPr>
                <w:rFonts w:ascii="Times New Roman" w:hAnsi="Times New Roman" w:cs="Times New Roman"/>
                <w:color w:val="000000" w:themeColor="text1"/>
                <w:kern w:val="0"/>
                <w:sz w:val="24"/>
                <w:szCs w:val="24"/>
              </w:rPr>
            </w:pPr>
          </w:p>
        </w:tc>
      </w:tr>
      <w:tr w14:paraId="023C13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2A90AD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六</w:t>
            </w:r>
          </w:p>
        </w:tc>
        <w:tc>
          <w:tcPr>
            <w:tcW w:w="2552" w:type="dxa"/>
            <w:vAlign w:val="center"/>
          </w:tcPr>
          <w:p w14:paraId="56A682F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税金</w:t>
            </w:r>
          </w:p>
        </w:tc>
        <w:tc>
          <w:tcPr>
            <w:tcW w:w="1417" w:type="dxa"/>
            <w:vAlign w:val="center"/>
          </w:tcPr>
          <w:p w14:paraId="35B912B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4" w:type="dxa"/>
            <w:vAlign w:val="center"/>
          </w:tcPr>
          <w:p w14:paraId="62CF695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9.00</w:t>
            </w:r>
          </w:p>
        </w:tc>
        <w:tc>
          <w:tcPr>
            <w:tcW w:w="1276" w:type="dxa"/>
            <w:vAlign w:val="center"/>
          </w:tcPr>
          <w:p w14:paraId="450F2BC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23428.16</w:t>
            </w:r>
          </w:p>
        </w:tc>
        <w:tc>
          <w:tcPr>
            <w:tcW w:w="1572" w:type="dxa"/>
            <w:vAlign w:val="center"/>
          </w:tcPr>
          <w:p w14:paraId="657182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2108.53</w:t>
            </w:r>
          </w:p>
        </w:tc>
      </w:tr>
      <w:tr w14:paraId="7717E0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1A9062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2552" w:type="dxa"/>
            <w:vAlign w:val="center"/>
          </w:tcPr>
          <w:p w14:paraId="1874585D">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417" w:type="dxa"/>
            <w:vAlign w:val="center"/>
          </w:tcPr>
          <w:p w14:paraId="51180B3B">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55979A5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394F3882">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572" w:type="dxa"/>
            <w:vAlign w:val="center"/>
          </w:tcPr>
          <w:p w14:paraId="2BC3D9B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25536.69</w:t>
            </w:r>
          </w:p>
        </w:tc>
      </w:tr>
    </w:tbl>
    <w:p w14:paraId="0ACEEBA2">
      <w:pPr>
        <w:tabs>
          <w:tab w:val="left" w:pos="3403"/>
        </w:tabs>
        <w:spacing w:before="28"/>
        <w:ind w:left="2" w:right="44"/>
        <w:jc w:val="center"/>
        <w:rPr>
          <w:rFonts w:ascii="Times New Roman" w:hAnsi="Times New Roman" w:cs="Times New Roman"/>
          <w:b/>
          <w:color w:val="000000" w:themeColor="text1"/>
          <w:sz w:val="24"/>
          <w:szCs w:val="24"/>
        </w:rPr>
      </w:pPr>
    </w:p>
    <w:p w14:paraId="6DB44366">
      <w:pPr>
        <w:tabs>
          <w:tab w:val="left" w:pos="3403"/>
        </w:tabs>
        <w:spacing w:before="28"/>
        <w:ind w:left="2" w:right="44"/>
        <w:jc w:val="center"/>
        <w:rPr>
          <w:rFonts w:ascii="Times New Roman" w:hAnsi="Times New Roman" w:cs="Times New Roman"/>
          <w:b/>
          <w:color w:val="000000" w:themeColor="text1"/>
          <w:sz w:val="24"/>
          <w:szCs w:val="24"/>
        </w:rPr>
      </w:pPr>
    </w:p>
    <w:p w14:paraId="3F478BB5">
      <w:pPr>
        <w:tabs>
          <w:tab w:val="left" w:pos="3403"/>
        </w:tabs>
        <w:spacing w:before="28"/>
        <w:ind w:left="2" w:right="44"/>
        <w:jc w:val="center"/>
        <w:rPr>
          <w:rFonts w:ascii="Times New Roman" w:hAnsi="Times New Roman" w:cs="Times New Roman"/>
          <w:b/>
          <w:color w:val="000000" w:themeColor="text1"/>
          <w:sz w:val="24"/>
          <w:szCs w:val="24"/>
        </w:rPr>
      </w:pPr>
    </w:p>
    <w:p w14:paraId="0B6DD008">
      <w:pPr>
        <w:tabs>
          <w:tab w:val="left" w:pos="3403"/>
        </w:tabs>
        <w:spacing w:before="28"/>
        <w:ind w:left="2" w:right="44"/>
        <w:jc w:val="center"/>
        <w:rPr>
          <w:rFonts w:ascii="Times New Roman" w:hAnsi="Times New Roman" w:cs="Times New Roman"/>
          <w:b/>
          <w:color w:val="000000" w:themeColor="text1"/>
          <w:sz w:val="24"/>
          <w:szCs w:val="24"/>
        </w:rPr>
      </w:pPr>
    </w:p>
    <w:p w14:paraId="655761E9">
      <w:pPr>
        <w:tabs>
          <w:tab w:val="left" w:pos="3403"/>
        </w:tabs>
        <w:spacing w:before="28"/>
        <w:ind w:left="2" w:right="44"/>
        <w:jc w:val="center"/>
        <w:rPr>
          <w:rFonts w:ascii="Times New Roman" w:hAnsi="Times New Roman" w:cs="Times New Roman"/>
          <w:b/>
          <w:color w:val="000000" w:themeColor="text1"/>
          <w:sz w:val="24"/>
          <w:szCs w:val="24"/>
        </w:rPr>
      </w:pPr>
    </w:p>
    <w:p w14:paraId="02775D08">
      <w:pPr>
        <w:tabs>
          <w:tab w:val="left" w:pos="3403"/>
        </w:tabs>
        <w:spacing w:before="28"/>
        <w:ind w:left="2" w:right="44"/>
        <w:jc w:val="center"/>
        <w:rPr>
          <w:rFonts w:ascii="Times New Roman" w:hAnsi="Times New Roman" w:cs="Times New Roman"/>
          <w:b/>
          <w:color w:val="000000" w:themeColor="text1"/>
          <w:sz w:val="24"/>
          <w:szCs w:val="24"/>
        </w:rPr>
      </w:pPr>
    </w:p>
    <w:p w14:paraId="39CA91AF">
      <w:pPr>
        <w:tabs>
          <w:tab w:val="left" w:pos="3403"/>
        </w:tabs>
        <w:spacing w:before="28"/>
        <w:ind w:left="2" w:right="44"/>
        <w:jc w:val="center"/>
        <w:rPr>
          <w:rFonts w:ascii="Times New Roman" w:hAnsi="Times New Roman" w:cs="Times New Roman"/>
          <w:b/>
          <w:color w:val="000000" w:themeColor="text1"/>
          <w:sz w:val="24"/>
          <w:szCs w:val="24"/>
        </w:rPr>
      </w:pPr>
    </w:p>
    <w:p w14:paraId="4D583CE6">
      <w:pPr>
        <w:tabs>
          <w:tab w:val="left" w:pos="3403"/>
        </w:tabs>
        <w:spacing w:before="28"/>
        <w:ind w:left="2" w:right="44"/>
        <w:jc w:val="center"/>
        <w:rPr>
          <w:rFonts w:ascii="Times New Roman" w:hAnsi="Times New Roman" w:cs="Times New Roman"/>
          <w:b/>
          <w:color w:val="000000" w:themeColor="text1"/>
          <w:sz w:val="24"/>
          <w:szCs w:val="24"/>
        </w:rPr>
      </w:pPr>
    </w:p>
    <w:p w14:paraId="7703FECE">
      <w:pPr>
        <w:tabs>
          <w:tab w:val="left" w:pos="3403"/>
        </w:tabs>
        <w:spacing w:before="28"/>
        <w:ind w:left="2" w:right="44"/>
        <w:jc w:val="center"/>
        <w:rPr>
          <w:rFonts w:ascii="Times New Roman" w:hAnsi="Times New Roman" w:cs="Times New Roman"/>
          <w:b/>
          <w:color w:val="000000" w:themeColor="text1"/>
          <w:sz w:val="24"/>
          <w:szCs w:val="24"/>
        </w:rPr>
      </w:pPr>
    </w:p>
    <w:p w14:paraId="220635F6">
      <w:pPr>
        <w:tabs>
          <w:tab w:val="left" w:pos="3403"/>
        </w:tabs>
        <w:spacing w:before="28"/>
        <w:ind w:left="2" w:right="44"/>
        <w:jc w:val="center"/>
        <w:rPr>
          <w:rFonts w:ascii="Times New Roman" w:hAnsi="Times New Roman" w:cs="Times New Roman"/>
          <w:b/>
          <w:color w:val="000000" w:themeColor="text1"/>
          <w:sz w:val="24"/>
          <w:szCs w:val="24"/>
        </w:rPr>
      </w:pPr>
    </w:p>
    <w:p w14:paraId="26711976">
      <w:pPr>
        <w:tabs>
          <w:tab w:val="left" w:pos="3403"/>
        </w:tabs>
        <w:spacing w:before="28"/>
        <w:ind w:left="2" w:right="44"/>
        <w:jc w:val="center"/>
        <w:rPr>
          <w:rFonts w:ascii="Times New Roman" w:hAnsi="Times New Roman" w:cs="Times New Roman"/>
          <w:b/>
          <w:color w:val="000000" w:themeColor="text1"/>
          <w:sz w:val="24"/>
          <w:szCs w:val="24"/>
        </w:rPr>
      </w:pPr>
    </w:p>
    <w:p w14:paraId="4C7DEB9D">
      <w:pPr>
        <w:tabs>
          <w:tab w:val="left" w:pos="3403"/>
        </w:tabs>
        <w:spacing w:before="28"/>
        <w:ind w:left="2" w:right="44"/>
        <w:jc w:val="center"/>
        <w:rPr>
          <w:rFonts w:ascii="Times New Roman" w:hAnsi="Times New Roman" w:cs="Times New Roman"/>
          <w:b/>
          <w:color w:val="000000" w:themeColor="text1"/>
          <w:sz w:val="24"/>
          <w:szCs w:val="24"/>
        </w:rPr>
      </w:pPr>
    </w:p>
    <w:p w14:paraId="75AF9673">
      <w:pPr>
        <w:tabs>
          <w:tab w:val="left" w:pos="3403"/>
        </w:tabs>
        <w:spacing w:before="28"/>
        <w:ind w:left="2" w:right="44"/>
        <w:jc w:val="center"/>
        <w:rPr>
          <w:rFonts w:ascii="Times New Roman" w:hAnsi="Times New Roman" w:cs="Times New Roman"/>
          <w:b/>
          <w:color w:val="000000" w:themeColor="text1"/>
          <w:sz w:val="24"/>
          <w:szCs w:val="24"/>
        </w:rPr>
      </w:pPr>
    </w:p>
    <w:p w14:paraId="3AD05496">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w:t>
      </w:r>
      <w:r>
        <w:rPr>
          <w:rFonts w:hint="eastAsia" w:ascii="Times New Roman" w:hAnsi="Times New Roman" w:cs="Times New Roman"/>
          <w:b/>
          <w:color w:val="000000" w:themeColor="text1"/>
          <w:sz w:val="24"/>
          <w:szCs w:val="24"/>
        </w:rPr>
        <w:t>16</w:t>
      </w:r>
      <w:r>
        <w:rPr>
          <w:rFonts w:ascii="Times New Roman" w:hAnsi="Times New Roman" w:cs="Times New Roman"/>
          <w:b/>
          <w:color w:val="000000" w:themeColor="text1"/>
          <w:sz w:val="24"/>
          <w:szCs w:val="24"/>
        </w:rPr>
        <w:t xml:space="preserve"> 土壤培肥</w:t>
      </w:r>
    </w:p>
    <w:p w14:paraId="2854F147">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定额编号：补1                                              定额单位：h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p>
    <w:p w14:paraId="46ACEB4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工作内容：有机肥撒播                                         金额单位：元</w:t>
      </w:r>
    </w:p>
    <w:tbl>
      <w:tblPr>
        <w:tblStyle w:val="42"/>
        <w:tblW w:w="5000"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1049"/>
        <w:gridCol w:w="1896"/>
        <w:gridCol w:w="1555"/>
        <w:gridCol w:w="1574"/>
        <w:gridCol w:w="1574"/>
        <w:gridCol w:w="1452"/>
      </w:tblGrid>
      <w:tr w14:paraId="6C8A318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1109244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序号</w:t>
            </w:r>
          </w:p>
        </w:tc>
        <w:tc>
          <w:tcPr>
            <w:tcW w:w="1896" w:type="dxa"/>
            <w:shd w:val="clear" w:color="auto" w:fill="FFFFFF"/>
            <w:vAlign w:val="center"/>
          </w:tcPr>
          <w:p w14:paraId="5266BBB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项目名称</w:t>
            </w:r>
          </w:p>
        </w:tc>
        <w:tc>
          <w:tcPr>
            <w:tcW w:w="1555" w:type="dxa"/>
            <w:shd w:val="clear" w:color="auto" w:fill="FFFFFF"/>
            <w:vAlign w:val="center"/>
          </w:tcPr>
          <w:p w14:paraId="2D90A3F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单位</w:t>
            </w:r>
          </w:p>
        </w:tc>
        <w:tc>
          <w:tcPr>
            <w:tcW w:w="1574" w:type="dxa"/>
            <w:shd w:val="clear" w:color="auto" w:fill="FFFFFF"/>
            <w:vAlign w:val="center"/>
          </w:tcPr>
          <w:p w14:paraId="44F5776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数量</w:t>
            </w:r>
          </w:p>
        </w:tc>
        <w:tc>
          <w:tcPr>
            <w:tcW w:w="1574" w:type="dxa"/>
            <w:shd w:val="clear" w:color="auto" w:fill="FFFFFF"/>
            <w:vAlign w:val="center"/>
          </w:tcPr>
          <w:p w14:paraId="41B4FFC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单价(元)</w:t>
            </w:r>
          </w:p>
        </w:tc>
        <w:tc>
          <w:tcPr>
            <w:tcW w:w="1452" w:type="dxa"/>
            <w:shd w:val="clear" w:color="auto" w:fill="FFFFFF"/>
            <w:vAlign w:val="center"/>
          </w:tcPr>
          <w:p w14:paraId="5F8EF51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合价(元)</w:t>
            </w:r>
          </w:p>
        </w:tc>
      </w:tr>
      <w:tr w14:paraId="393DC6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1B24C69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1896" w:type="dxa"/>
            <w:shd w:val="clear" w:color="auto" w:fill="FFFFFF"/>
            <w:vAlign w:val="center"/>
          </w:tcPr>
          <w:p w14:paraId="028E65A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直接费</w:t>
            </w:r>
          </w:p>
        </w:tc>
        <w:tc>
          <w:tcPr>
            <w:tcW w:w="1555" w:type="dxa"/>
            <w:shd w:val="clear" w:color="auto" w:fill="FFFFFF"/>
            <w:vAlign w:val="center"/>
          </w:tcPr>
          <w:p w14:paraId="01BB2BB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4" w:type="dxa"/>
            <w:shd w:val="clear" w:color="auto" w:fill="FFFFFF"/>
            <w:vAlign w:val="center"/>
          </w:tcPr>
          <w:p w14:paraId="1094A82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4" w:type="dxa"/>
            <w:shd w:val="clear" w:color="auto" w:fill="FFFFFF"/>
            <w:vAlign w:val="center"/>
          </w:tcPr>
          <w:p w14:paraId="227AB55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452" w:type="dxa"/>
            <w:shd w:val="clear" w:color="auto" w:fill="FFFFFF"/>
            <w:vAlign w:val="center"/>
          </w:tcPr>
          <w:p w14:paraId="71BB331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2955.52 </w:t>
            </w:r>
          </w:p>
        </w:tc>
      </w:tr>
      <w:tr w14:paraId="546586A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74020E4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1896" w:type="dxa"/>
            <w:shd w:val="clear" w:color="auto" w:fill="FFFFFF"/>
            <w:vAlign w:val="center"/>
          </w:tcPr>
          <w:p w14:paraId="20C4660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直接工程费</w:t>
            </w:r>
          </w:p>
        </w:tc>
        <w:tc>
          <w:tcPr>
            <w:tcW w:w="1555" w:type="dxa"/>
            <w:shd w:val="clear" w:color="auto" w:fill="FFFFFF"/>
            <w:vAlign w:val="center"/>
          </w:tcPr>
          <w:p w14:paraId="4C5E4FF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4" w:type="dxa"/>
            <w:shd w:val="clear" w:color="auto" w:fill="FFFFFF"/>
            <w:vAlign w:val="center"/>
          </w:tcPr>
          <w:p w14:paraId="11593CE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4" w:type="dxa"/>
            <w:shd w:val="clear" w:color="auto" w:fill="FFFFFF"/>
            <w:vAlign w:val="center"/>
          </w:tcPr>
          <w:p w14:paraId="2CB239B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452" w:type="dxa"/>
            <w:shd w:val="clear" w:color="auto" w:fill="FFFFFF"/>
            <w:vAlign w:val="center"/>
          </w:tcPr>
          <w:p w14:paraId="1232F81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2814.78 </w:t>
            </w:r>
          </w:p>
        </w:tc>
      </w:tr>
      <w:tr w14:paraId="03A3DC7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39B3CCB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896" w:type="dxa"/>
            <w:shd w:val="clear" w:color="auto" w:fill="FFFFFF"/>
            <w:vAlign w:val="center"/>
          </w:tcPr>
          <w:p w14:paraId="3ED46F5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人工费</w:t>
            </w:r>
          </w:p>
        </w:tc>
        <w:tc>
          <w:tcPr>
            <w:tcW w:w="1555" w:type="dxa"/>
            <w:shd w:val="clear" w:color="auto" w:fill="FFFFFF"/>
            <w:vAlign w:val="center"/>
          </w:tcPr>
          <w:p w14:paraId="4B309A0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4" w:type="dxa"/>
            <w:shd w:val="clear" w:color="auto" w:fill="FFFFFF"/>
            <w:vAlign w:val="center"/>
          </w:tcPr>
          <w:p w14:paraId="178145A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4" w:type="dxa"/>
            <w:shd w:val="clear" w:color="auto" w:fill="FFFFFF"/>
            <w:vAlign w:val="center"/>
          </w:tcPr>
          <w:p w14:paraId="4683DC4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452" w:type="dxa"/>
            <w:shd w:val="clear" w:color="auto" w:fill="FFFFFF"/>
            <w:vAlign w:val="center"/>
          </w:tcPr>
          <w:p w14:paraId="31AF5E5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230.78 </w:t>
            </w:r>
          </w:p>
        </w:tc>
      </w:tr>
      <w:tr w14:paraId="01B8A10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412A065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896" w:type="dxa"/>
            <w:shd w:val="clear" w:color="auto" w:fill="FFFFFF"/>
            <w:vAlign w:val="center"/>
          </w:tcPr>
          <w:p w14:paraId="110F63E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甲类工</w:t>
            </w:r>
          </w:p>
        </w:tc>
        <w:tc>
          <w:tcPr>
            <w:tcW w:w="1555" w:type="dxa"/>
            <w:shd w:val="clear" w:color="auto" w:fill="FFFFFF"/>
            <w:vAlign w:val="center"/>
          </w:tcPr>
          <w:p w14:paraId="4451009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574" w:type="dxa"/>
            <w:shd w:val="clear" w:color="auto" w:fill="FFFFFF"/>
            <w:vAlign w:val="center"/>
          </w:tcPr>
          <w:p w14:paraId="2648DDA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4" w:type="dxa"/>
            <w:shd w:val="clear" w:color="auto" w:fill="FFFFFF"/>
            <w:vAlign w:val="center"/>
          </w:tcPr>
          <w:p w14:paraId="73D16EE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452" w:type="dxa"/>
            <w:shd w:val="clear" w:color="auto" w:fill="FFFFFF"/>
            <w:vAlign w:val="center"/>
          </w:tcPr>
          <w:p w14:paraId="640CE57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2E65DE9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47FE7B1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896" w:type="dxa"/>
            <w:shd w:val="clear" w:color="auto" w:fill="FFFFFF"/>
            <w:vAlign w:val="center"/>
          </w:tcPr>
          <w:p w14:paraId="63DE0E2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乙类工</w:t>
            </w:r>
          </w:p>
        </w:tc>
        <w:tc>
          <w:tcPr>
            <w:tcW w:w="1555" w:type="dxa"/>
            <w:shd w:val="clear" w:color="auto" w:fill="FFFFFF"/>
            <w:vAlign w:val="center"/>
          </w:tcPr>
          <w:p w14:paraId="559C5C3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574" w:type="dxa"/>
            <w:shd w:val="clear" w:color="auto" w:fill="FFFFFF"/>
            <w:vAlign w:val="center"/>
          </w:tcPr>
          <w:p w14:paraId="66EF07F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574" w:type="dxa"/>
            <w:shd w:val="clear" w:color="auto" w:fill="FFFFFF"/>
            <w:vAlign w:val="center"/>
          </w:tcPr>
          <w:p w14:paraId="1413377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45.03 </w:t>
            </w:r>
          </w:p>
        </w:tc>
        <w:tc>
          <w:tcPr>
            <w:tcW w:w="1452" w:type="dxa"/>
            <w:shd w:val="clear" w:color="auto" w:fill="FFFFFF"/>
            <w:vAlign w:val="center"/>
          </w:tcPr>
          <w:p w14:paraId="4E1338C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225.15 </w:t>
            </w:r>
          </w:p>
        </w:tc>
      </w:tr>
      <w:tr w14:paraId="5730F7F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6260527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1896" w:type="dxa"/>
            <w:shd w:val="clear" w:color="auto" w:fill="FFFFFF"/>
            <w:vAlign w:val="center"/>
          </w:tcPr>
          <w:p w14:paraId="13ACECB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其他费用</w:t>
            </w:r>
          </w:p>
        </w:tc>
        <w:tc>
          <w:tcPr>
            <w:tcW w:w="1555" w:type="dxa"/>
            <w:shd w:val="clear" w:color="auto" w:fill="FFFFFF"/>
            <w:vAlign w:val="center"/>
          </w:tcPr>
          <w:p w14:paraId="042AEFE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574" w:type="dxa"/>
            <w:shd w:val="clear" w:color="auto" w:fill="FFFFFF"/>
            <w:vAlign w:val="center"/>
          </w:tcPr>
          <w:p w14:paraId="17BC211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2.5</w:t>
            </w:r>
          </w:p>
        </w:tc>
        <w:tc>
          <w:tcPr>
            <w:tcW w:w="1574" w:type="dxa"/>
            <w:shd w:val="clear" w:color="auto" w:fill="FFFFFF"/>
            <w:vAlign w:val="center"/>
          </w:tcPr>
          <w:p w14:paraId="623B55C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225.15 </w:t>
            </w:r>
          </w:p>
        </w:tc>
        <w:tc>
          <w:tcPr>
            <w:tcW w:w="1452" w:type="dxa"/>
            <w:shd w:val="clear" w:color="auto" w:fill="FFFFFF"/>
            <w:vAlign w:val="center"/>
          </w:tcPr>
          <w:p w14:paraId="6C2A9F0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5.63 </w:t>
            </w:r>
          </w:p>
        </w:tc>
      </w:tr>
      <w:tr w14:paraId="51F8D27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1492596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896" w:type="dxa"/>
            <w:shd w:val="clear" w:color="auto" w:fill="FFFFFF"/>
            <w:vAlign w:val="center"/>
          </w:tcPr>
          <w:p w14:paraId="7ABC9EE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材料费</w:t>
            </w:r>
          </w:p>
        </w:tc>
        <w:tc>
          <w:tcPr>
            <w:tcW w:w="1555" w:type="dxa"/>
            <w:shd w:val="clear" w:color="auto" w:fill="FFFFFF"/>
            <w:vAlign w:val="center"/>
          </w:tcPr>
          <w:p w14:paraId="22593D0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4" w:type="dxa"/>
            <w:shd w:val="clear" w:color="auto" w:fill="FFFFFF"/>
            <w:vAlign w:val="center"/>
          </w:tcPr>
          <w:p w14:paraId="16E0E3F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4" w:type="dxa"/>
            <w:shd w:val="clear" w:color="auto" w:fill="FFFFFF"/>
            <w:vAlign w:val="center"/>
          </w:tcPr>
          <w:p w14:paraId="2610230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452" w:type="dxa"/>
            <w:shd w:val="clear" w:color="auto" w:fill="FFFFFF"/>
            <w:vAlign w:val="center"/>
          </w:tcPr>
          <w:p w14:paraId="2A5A2BE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2584.00 </w:t>
            </w:r>
          </w:p>
        </w:tc>
      </w:tr>
      <w:tr w14:paraId="403EC1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67E7722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896" w:type="dxa"/>
            <w:shd w:val="clear" w:color="auto" w:fill="FFFFFF"/>
            <w:vAlign w:val="center"/>
          </w:tcPr>
          <w:p w14:paraId="59D69D3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肥料</w:t>
            </w:r>
          </w:p>
        </w:tc>
        <w:tc>
          <w:tcPr>
            <w:tcW w:w="1555" w:type="dxa"/>
            <w:shd w:val="clear" w:color="auto" w:fill="FFFFFF"/>
            <w:vAlign w:val="center"/>
          </w:tcPr>
          <w:p w14:paraId="69BB863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t</w:t>
            </w:r>
          </w:p>
        </w:tc>
        <w:tc>
          <w:tcPr>
            <w:tcW w:w="1574" w:type="dxa"/>
            <w:shd w:val="clear" w:color="auto" w:fill="FFFFFF"/>
            <w:vAlign w:val="center"/>
          </w:tcPr>
          <w:p w14:paraId="0FF2C14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0.8</w:t>
            </w:r>
          </w:p>
        </w:tc>
        <w:tc>
          <w:tcPr>
            <w:tcW w:w="1574" w:type="dxa"/>
            <w:shd w:val="clear" w:color="auto" w:fill="FFFFFF"/>
            <w:vAlign w:val="center"/>
          </w:tcPr>
          <w:p w14:paraId="2B35859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3230.00 </w:t>
            </w:r>
          </w:p>
        </w:tc>
        <w:tc>
          <w:tcPr>
            <w:tcW w:w="1452" w:type="dxa"/>
            <w:shd w:val="clear" w:color="auto" w:fill="FFFFFF"/>
            <w:vAlign w:val="center"/>
          </w:tcPr>
          <w:p w14:paraId="76DE37A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2584.00 </w:t>
            </w:r>
          </w:p>
        </w:tc>
      </w:tr>
      <w:tr w14:paraId="55567BD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625EEF4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896" w:type="dxa"/>
            <w:shd w:val="clear" w:color="auto" w:fill="FFFFFF"/>
            <w:vAlign w:val="center"/>
          </w:tcPr>
          <w:p w14:paraId="494949A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其他费用</w:t>
            </w:r>
          </w:p>
        </w:tc>
        <w:tc>
          <w:tcPr>
            <w:tcW w:w="1555" w:type="dxa"/>
            <w:shd w:val="clear" w:color="auto" w:fill="FFFFFF"/>
            <w:vAlign w:val="center"/>
          </w:tcPr>
          <w:p w14:paraId="754CFB5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574" w:type="dxa"/>
            <w:shd w:val="clear" w:color="auto" w:fill="FFFFFF"/>
            <w:vAlign w:val="center"/>
          </w:tcPr>
          <w:p w14:paraId="0587361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2.5</w:t>
            </w:r>
          </w:p>
        </w:tc>
        <w:tc>
          <w:tcPr>
            <w:tcW w:w="1574" w:type="dxa"/>
            <w:shd w:val="clear" w:color="auto" w:fill="FFFFFF"/>
            <w:vAlign w:val="center"/>
          </w:tcPr>
          <w:p w14:paraId="4199811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750.00 </w:t>
            </w:r>
          </w:p>
        </w:tc>
        <w:tc>
          <w:tcPr>
            <w:tcW w:w="1452" w:type="dxa"/>
            <w:shd w:val="clear" w:color="auto" w:fill="FFFFFF"/>
            <w:vAlign w:val="center"/>
          </w:tcPr>
          <w:p w14:paraId="3DF2044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18.75 </w:t>
            </w:r>
          </w:p>
        </w:tc>
      </w:tr>
      <w:tr w14:paraId="50D01ED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251A422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1896" w:type="dxa"/>
            <w:shd w:val="clear" w:color="auto" w:fill="FFFFFF"/>
            <w:vAlign w:val="center"/>
          </w:tcPr>
          <w:p w14:paraId="6413223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措施费</w:t>
            </w:r>
          </w:p>
        </w:tc>
        <w:tc>
          <w:tcPr>
            <w:tcW w:w="1555" w:type="dxa"/>
            <w:shd w:val="clear" w:color="auto" w:fill="FFFFFF"/>
            <w:vAlign w:val="center"/>
          </w:tcPr>
          <w:p w14:paraId="1B5CDB2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574" w:type="dxa"/>
            <w:shd w:val="clear" w:color="auto" w:fill="FFFFFF"/>
            <w:vAlign w:val="center"/>
          </w:tcPr>
          <w:p w14:paraId="67AF91F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574" w:type="dxa"/>
            <w:shd w:val="clear" w:color="auto" w:fill="FFFFFF"/>
            <w:vAlign w:val="center"/>
          </w:tcPr>
          <w:p w14:paraId="1C33E6F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2814.78 </w:t>
            </w:r>
          </w:p>
        </w:tc>
        <w:tc>
          <w:tcPr>
            <w:tcW w:w="1452" w:type="dxa"/>
            <w:shd w:val="clear" w:color="auto" w:fill="FFFFFF"/>
            <w:vAlign w:val="center"/>
          </w:tcPr>
          <w:p w14:paraId="2FA7341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140.74 </w:t>
            </w:r>
          </w:p>
        </w:tc>
      </w:tr>
      <w:tr w14:paraId="3D2322E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755D046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1896" w:type="dxa"/>
            <w:shd w:val="clear" w:color="auto" w:fill="FFFFFF"/>
            <w:vAlign w:val="center"/>
          </w:tcPr>
          <w:p w14:paraId="2523BCF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间接费</w:t>
            </w:r>
          </w:p>
        </w:tc>
        <w:tc>
          <w:tcPr>
            <w:tcW w:w="1555" w:type="dxa"/>
            <w:shd w:val="clear" w:color="auto" w:fill="FFFFFF"/>
            <w:vAlign w:val="center"/>
          </w:tcPr>
          <w:p w14:paraId="33D5983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574" w:type="dxa"/>
            <w:shd w:val="clear" w:color="auto" w:fill="FFFFFF"/>
            <w:vAlign w:val="center"/>
          </w:tcPr>
          <w:p w14:paraId="0DD3D24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574" w:type="dxa"/>
            <w:shd w:val="clear" w:color="auto" w:fill="FFFFFF"/>
            <w:vAlign w:val="center"/>
          </w:tcPr>
          <w:p w14:paraId="0A31CB3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2955.52 </w:t>
            </w:r>
          </w:p>
        </w:tc>
        <w:tc>
          <w:tcPr>
            <w:tcW w:w="1452" w:type="dxa"/>
            <w:shd w:val="clear" w:color="auto" w:fill="FFFFFF"/>
            <w:vAlign w:val="center"/>
          </w:tcPr>
          <w:p w14:paraId="4A75613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147.78 </w:t>
            </w:r>
          </w:p>
        </w:tc>
      </w:tr>
      <w:tr w14:paraId="6A57E7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299FDB9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w:t>
            </w:r>
          </w:p>
        </w:tc>
        <w:tc>
          <w:tcPr>
            <w:tcW w:w="1896" w:type="dxa"/>
            <w:shd w:val="clear" w:color="auto" w:fill="FFFFFF"/>
            <w:vAlign w:val="center"/>
          </w:tcPr>
          <w:p w14:paraId="6B7B600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利润</w:t>
            </w:r>
          </w:p>
        </w:tc>
        <w:tc>
          <w:tcPr>
            <w:tcW w:w="1555" w:type="dxa"/>
            <w:shd w:val="clear" w:color="auto" w:fill="FFFFFF"/>
            <w:vAlign w:val="center"/>
          </w:tcPr>
          <w:p w14:paraId="18EEAE5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574" w:type="dxa"/>
            <w:shd w:val="clear" w:color="auto" w:fill="FFFFFF"/>
            <w:vAlign w:val="center"/>
          </w:tcPr>
          <w:p w14:paraId="132D5DC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w:t>
            </w:r>
          </w:p>
        </w:tc>
        <w:tc>
          <w:tcPr>
            <w:tcW w:w="1574" w:type="dxa"/>
            <w:shd w:val="clear" w:color="auto" w:fill="FFFFFF"/>
            <w:vAlign w:val="center"/>
          </w:tcPr>
          <w:p w14:paraId="27A3403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3103.29 </w:t>
            </w:r>
          </w:p>
        </w:tc>
        <w:tc>
          <w:tcPr>
            <w:tcW w:w="1452" w:type="dxa"/>
            <w:shd w:val="clear" w:color="auto" w:fill="FFFFFF"/>
            <w:vAlign w:val="center"/>
          </w:tcPr>
          <w:p w14:paraId="182C040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217.23 </w:t>
            </w:r>
          </w:p>
        </w:tc>
      </w:tr>
      <w:tr w14:paraId="643AB52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0CA088B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四</w:t>
            </w:r>
          </w:p>
        </w:tc>
        <w:tc>
          <w:tcPr>
            <w:tcW w:w="1896" w:type="dxa"/>
            <w:shd w:val="clear" w:color="auto" w:fill="FFFFFF"/>
            <w:vAlign w:val="center"/>
          </w:tcPr>
          <w:p w14:paraId="7DE3149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税金</w:t>
            </w:r>
          </w:p>
        </w:tc>
        <w:tc>
          <w:tcPr>
            <w:tcW w:w="1555" w:type="dxa"/>
            <w:shd w:val="clear" w:color="auto" w:fill="FFFFFF"/>
            <w:vAlign w:val="center"/>
          </w:tcPr>
          <w:p w14:paraId="11B4086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574" w:type="dxa"/>
            <w:shd w:val="clear" w:color="auto" w:fill="FFFFFF"/>
            <w:vAlign w:val="center"/>
          </w:tcPr>
          <w:p w14:paraId="3FD88C9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w:t>
            </w:r>
          </w:p>
        </w:tc>
        <w:tc>
          <w:tcPr>
            <w:tcW w:w="1574" w:type="dxa"/>
            <w:shd w:val="clear" w:color="auto" w:fill="FFFFFF"/>
            <w:vAlign w:val="center"/>
          </w:tcPr>
          <w:p w14:paraId="0ED0E3F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3320.52 </w:t>
            </w:r>
          </w:p>
        </w:tc>
        <w:tc>
          <w:tcPr>
            <w:tcW w:w="1452" w:type="dxa"/>
            <w:shd w:val="clear" w:color="auto" w:fill="FFFFFF"/>
            <w:vAlign w:val="center"/>
          </w:tcPr>
          <w:p w14:paraId="574C5D0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298.85 </w:t>
            </w:r>
          </w:p>
        </w:tc>
      </w:tr>
      <w:tr w14:paraId="73CA05D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2C71299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1896" w:type="dxa"/>
            <w:shd w:val="clear" w:color="auto" w:fill="FFFFFF"/>
            <w:vAlign w:val="center"/>
          </w:tcPr>
          <w:p w14:paraId="6C661AE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555" w:type="dxa"/>
            <w:shd w:val="clear" w:color="auto" w:fill="FFFFFF"/>
            <w:vAlign w:val="center"/>
          </w:tcPr>
          <w:p w14:paraId="79A953C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574" w:type="dxa"/>
            <w:shd w:val="clear" w:color="auto" w:fill="FFFFFF"/>
            <w:vAlign w:val="center"/>
          </w:tcPr>
          <w:p w14:paraId="74742E6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574" w:type="dxa"/>
            <w:shd w:val="clear" w:color="auto" w:fill="FFFFFF"/>
            <w:vAlign w:val="center"/>
          </w:tcPr>
          <w:p w14:paraId="487A21B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452" w:type="dxa"/>
            <w:shd w:val="clear" w:color="auto" w:fill="FFFFFF"/>
            <w:vAlign w:val="center"/>
          </w:tcPr>
          <w:p w14:paraId="77C731A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3619.37 </w:t>
            </w:r>
          </w:p>
        </w:tc>
      </w:tr>
    </w:tbl>
    <w:p w14:paraId="409941F3">
      <w:pPr>
        <w:tabs>
          <w:tab w:val="left" w:pos="3403"/>
        </w:tabs>
        <w:spacing w:before="28"/>
        <w:ind w:left="2" w:right="44"/>
        <w:jc w:val="center"/>
        <w:rPr>
          <w:rFonts w:ascii="Times New Roman" w:hAnsi="Times New Roman" w:cs="Times New Roman"/>
          <w:b/>
          <w:color w:val="000000" w:themeColor="text1"/>
          <w:sz w:val="24"/>
          <w:szCs w:val="24"/>
        </w:rPr>
      </w:pPr>
    </w:p>
    <w:p w14:paraId="45D5586D">
      <w:pPr>
        <w:tabs>
          <w:tab w:val="left" w:pos="3403"/>
        </w:tabs>
        <w:spacing w:before="28"/>
        <w:ind w:left="2" w:right="44"/>
        <w:jc w:val="center"/>
        <w:rPr>
          <w:rFonts w:ascii="Times New Roman" w:hAnsi="Times New Roman" w:cs="Times New Roman"/>
          <w:b/>
          <w:color w:val="000000" w:themeColor="text1"/>
          <w:sz w:val="24"/>
          <w:szCs w:val="24"/>
        </w:rPr>
      </w:pPr>
    </w:p>
    <w:p w14:paraId="5C787B97">
      <w:pPr>
        <w:tabs>
          <w:tab w:val="left" w:pos="3403"/>
        </w:tabs>
        <w:spacing w:before="28"/>
        <w:ind w:left="2" w:right="44"/>
        <w:jc w:val="center"/>
        <w:rPr>
          <w:rFonts w:ascii="Times New Roman" w:hAnsi="Times New Roman" w:cs="Times New Roman"/>
          <w:b/>
          <w:color w:val="000000" w:themeColor="text1"/>
          <w:sz w:val="24"/>
          <w:szCs w:val="24"/>
        </w:rPr>
      </w:pPr>
    </w:p>
    <w:p w14:paraId="55A58879">
      <w:pPr>
        <w:tabs>
          <w:tab w:val="left" w:pos="3403"/>
        </w:tabs>
        <w:spacing w:before="28"/>
        <w:ind w:left="2" w:right="44"/>
        <w:jc w:val="center"/>
        <w:rPr>
          <w:rFonts w:ascii="Times New Roman" w:hAnsi="Times New Roman" w:cs="Times New Roman"/>
          <w:b/>
          <w:color w:val="000000" w:themeColor="text1"/>
          <w:sz w:val="24"/>
          <w:szCs w:val="24"/>
        </w:rPr>
      </w:pPr>
    </w:p>
    <w:p w14:paraId="0D55AE5B">
      <w:pPr>
        <w:tabs>
          <w:tab w:val="left" w:pos="3403"/>
        </w:tabs>
        <w:spacing w:before="28"/>
        <w:ind w:left="2" w:right="44"/>
        <w:jc w:val="center"/>
        <w:rPr>
          <w:rFonts w:ascii="Times New Roman" w:hAnsi="Times New Roman" w:cs="Times New Roman"/>
          <w:b/>
          <w:color w:val="000000" w:themeColor="text1"/>
          <w:sz w:val="24"/>
          <w:szCs w:val="24"/>
        </w:rPr>
      </w:pPr>
    </w:p>
    <w:p w14:paraId="06E57089">
      <w:pPr>
        <w:tabs>
          <w:tab w:val="left" w:pos="3403"/>
        </w:tabs>
        <w:spacing w:before="28"/>
        <w:ind w:left="2" w:right="44"/>
        <w:jc w:val="center"/>
        <w:rPr>
          <w:rFonts w:ascii="Times New Roman" w:hAnsi="Times New Roman" w:cs="Times New Roman"/>
          <w:b/>
          <w:color w:val="000000" w:themeColor="text1"/>
          <w:sz w:val="24"/>
          <w:szCs w:val="24"/>
        </w:rPr>
      </w:pPr>
    </w:p>
    <w:p w14:paraId="2F8F2E4E">
      <w:pPr>
        <w:tabs>
          <w:tab w:val="left" w:pos="3403"/>
        </w:tabs>
        <w:spacing w:before="28"/>
        <w:ind w:left="2" w:right="44"/>
        <w:jc w:val="center"/>
        <w:rPr>
          <w:rFonts w:ascii="Times New Roman" w:hAnsi="Times New Roman" w:cs="Times New Roman"/>
          <w:b/>
          <w:color w:val="000000" w:themeColor="text1"/>
          <w:sz w:val="24"/>
          <w:szCs w:val="24"/>
        </w:rPr>
      </w:pPr>
    </w:p>
    <w:p w14:paraId="0ADBE365">
      <w:pPr>
        <w:tabs>
          <w:tab w:val="left" w:pos="3403"/>
        </w:tabs>
        <w:spacing w:before="28"/>
        <w:ind w:left="2" w:right="44"/>
        <w:jc w:val="center"/>
        <w:rPr>
          <w:rFonts w:ascii="Times New Roman" w:hAnsi="Times New Roman" w:cs="Times New Roman"/>
          <w:b/>
          <w:color w:val="000000" w:themeColor="text1"/>
          <w:sz w:val="24"/>
          <w:szCs w:val="24"/>
        </w:rPr>
      </w:pPr>
    </w:p>
    <w:p w14:paraId="091638FD">
      <w:pPr>
        <w:tabs>
          <w:tab w:val="left" w:pos="3403"/>
        </w:tabs>
        <w:spacing w:before="28"/>
        <w:ind w:left="2" w:right="44"/>
        <w:jc w:val="center"/>
        <w:rPr>
          <w:rFonts w:ascii="Times New Roman" w:hAnsi="Times New Roman" w:cs="Times New Roman"/>
          <w:b/>
          <w:color w:val="000000" w:themeColor="text1"/>
          <w:sz w:val="24"/>
          <w:szCs w:val="24"/>
        </w:rPr>
      </w:pPr>
    </w:p>
    <w:p w14:paraId="51F1DB20">
      <w:pPr>
        <w:tabs>
          <w:tab w:val="left" w:pos="3403"/>
        </w:tabs>
        <w:spacing w:before="28"/>
        <w:ind w:left="2" w:right="44"/>
        <w:jc w:val="center"/>
        <w:rPr>
          <w:rFonts w:ascii="Times New Roman" w:hAnsi="Times New Roman" w:cs="Times New Roman"/>
          <w:b/>
          <w:color w:val="000000" w:themeColor="text1"/>
          <w:sz w:val="24"/>
          <w:szCs w:val="24"/>
        </w:rPr>
      </w:pPr>
    </w:p>
    <w:p w14:paraId="0B4CBC2F">
      <w:pPr>
        <w:tabs>
          <w:tab w:val="left" w:pos="3403"/>
        </w:tabs>
        <w:spacing w:before="28"/>
        <w:ind w:left="2" w:right="44"/>
        <w:jc w:val="center"/>
        <w:rPr>
          <w:rFonts w:ascii="Times New Roman" w:hAnsi="Times New Roman" w:cs="Times New Roman"/>
          <w:b/>
          <w:color w:val="000000" w:themeColor="text1"/>
          <w:sz w:val="24"/>
          <w:szCs w:val="24"/>
        </w:rPr>
      </w:pPr>
    </w:p>
    <w:p w14:paraId="45E5E133">
      <w:pPr>
        <w:tabs>
          <w:tab w:val="left" w:pos="3403"/>
        </w:tabs>
        <w:spacing w:before="28"/>
        <w:ind w:left="2" w:right="44"/>
        <w:jc w:val="center"/>
        <w:rPr>
          <w:rFonts w:ascii="Times New Roman" w:hAnsi="Times New Roman" w:cs="Times New Roman"/>
          <w:b/>
          <w:color w:val="000000" w:themeColor="text1"/>
          <w:sz w:val="24"/>
          <w:szCs w:val="24"/>
        </w:rPr>
      </w:pPr>
    </w:p>
    <w:p w14:paraId="7D00EF36">
      <w:pPr>
        <w:tabs>
          <w:tab w:val="left" w:pos="3403"/>
        </w:tabs>
        <w:spacing w:before="28"/>
        <w:ind w:left="2" w:right="44"/>
        <w:jc w:val="center"/>
        <w:rPr>
          <w:rFonts w:ascii="Times New Roman" w:hAnsi="Times New Roman" w:cs="Times New Roman"/>
          <w:b/>
          <w:color w:val="000000" w:themeColor="text1"/>
          <w:sz w:val="24"/>
          <w:szCs w:val="24"/>
        </w:rPr>
      </w:pPr>
    </w:p>
    <w:p w14:paraId="6CC4FFE7">
      <w:pPr>
        <w:tabs>
          <w:tab w:val="left" w:pos="3403"/>
        </w:tabs>
        <w:spacing w:before="28"/>
        <w:ind w:left="2" w:right="44"/>
        <w:jc w:val="center"/>
        <w:rPr>
          <w:rFonts w:ascii="Times New Roman" w:hAnsi="Times New Roman" w:cs="Times New Roman"/>
          <w:b/>
          <w:color w:val="000000" w:themeColor="text1"/>
          <w:sz w:val="24"/>
          <w:szCs w:val="24"/>
        </w:rPr>
      </w:pPr>
    </w:p>
    <w:p w14:paraId="718C3708">
      <w:pPr>
        <w:tabs>
          <w:tab w:val="left" w:pos="3403"/>
        </w:tabs>
        <w:spacing w:before="28"/>
        <w:ind w:left="2" w:right="44"/>
        <w:jc w:val="center"/>
        <w:rPr>
          <w:rFonts w:ascii="Times New Roman" w:hAnsi="Times New Roman" w:cs="Times New Roman"/>
          <w:b/>
          <w:color w:val="000000" w:themeColor="text1"/>
          <w:sz w:val="24"/>
          <w:szCs w:val="24"/>
        </w:rPr>
      </w:pPr>
    </w:p>
    <w:p w14:paraId="7A428F9C">
      <w:pPr>
        <w:tabs>
          <w:tab w:val="left" w:pos="3403"/>
        </w:tabs>
        <w:spacing w:before="28"/>
        <w:ind w:left="2" w:right="44"/>
        <w:jc w:val="center"/>
        <w:rPr>
          <w:rFonts w:ascii="Times New Roman" w:hAnsi="Times New Roman" w:cs="Times New Roman"/>
          <w:b/>
          <w:color w:val="000000" w:themeColor="text1"/>
          <w:sz w:val="24"/>
          <w:szCs w:val="24"/>
        </w:rPr>
      </w:pPr>
    </w:p>
    <w:p w14:paraId="2500FFCF">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表6-1</w:t>
      </w:r>
      <w:r>
        <w:rPr>
          <w:rFonts w:hint="eastAsia" w:ascii="Times New Roman" w:hAnsi="Times New Roman" w:cs="Times New Roman"/>
          <w:b/>
          <w:color w:val="000000" w:themeColor="text1"/>
          <w:sz w:val="24"/>
          <w:szCs w:val="24"/>
        </w:rPr>
        <w:t>7</w:t>
      </w:r>
      <w:r>
        <w:rPr>
          <w:rFonts w:ascii="Times New Roman" w:hAnsi="Times New Roman" w:cs="Times New Roman"/>
          <w:b/>
          <w:color w:val="000000" w:themeColor="text1"/>
          <w:sz w:val="24"/>
          <w:szCs w:val="24"/>
        </w:rPr>
        <w:t xml:space="preserve"> 栽种常春藤</w:t>
      </w:r>
    </w:p>
    <w:p w14:paraId="316BF6A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定额编号：9-018                                             定额单位：100株</w:t>
      </w:r>
    </w:p>
    <w:p w14:paraId="6DCE858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工作内容：挖坑，栽植，浇水，覆土保墒，整形，清理。             金额单位：元</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217"/>
        <w:gridCol w:w="2484"/>
        <w:gridCol w:w="1417"/>
        <w:gridCol w:w="1134"/>
        <w:gridCol w:w="1276"/>
        <w:gridCol w:w="1572"/>
      </w:tblGrid>
      <w:tr w14:paraId="12F7F8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2A757593">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名称</w:t>
            </w:r>
          </w:p>
        </w:tc>
        <w:tc>
          <w:tcPr>
            <w:tcW w:w="2484" w:type="dxa"/>
            <w:noWrap/>
            <w:vAlign w:val="center"/>
          </w:tcPr>
          <w:p w14:paraId="2466E290">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项目名称</w:t>
            </w:r>
          </w:p>
        </w:tc>
        <w:tc>
          <w:tcPr>
            <w:tcW w:w="1417" w:type="dxa"/>
            <w:noWrap/>
            <w:vAlign w:val="center"/>
          </w:tcPr>
          <w:p w14:paraId="0E931178">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单位</w:t>
            </w:r>
          </w:p>
        </w:tc>
        <w:tc>
          <w:tcPr>
            <w:tcW w:w="1134" w:type="dxa"/>
            <w:noWrap/>
            <w:vAlign w:val="center"/>
          </w:tcPr>
          <w:p w14:paraId="622F7308">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数量</w:t>
            </w:r>
          </w:p>
        </w:tc>
        <w:tc>
          <w:tcPr>
            <w:tcW w:w="1276" w:type="dxa"/>
            <w:noWrap/>
            <w:vAlign w:val="center"/>
          </w:tcPr>
          <w:p w14:paraId="47A2106E">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单价</w:t>
            </w:r>
          </w:p>
        </w:tc>
        <w:tc>
          <w:tcPr>
            <w:tcW w:w="1572" w:type="dxa"/>
            <w:noWrap/>
            <w:vAlign w:val="center"/>
          </w:tcPr>
          <w:p w14:paraId="41381665">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小计</w:t>
            </w:r>
          </w:p>
        </w:tc>
      </w:tr>
      <w:tr w14:paraId="6446FE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1217" w:type="dxa"/>
            <w:noWrap/>
            <w:vAlign w:val="center"/>
          </w:tcPr>
          <w:p w14:paraId="3712D36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484" w:type="dxa"/>
            <w:noWrap/>
            <w:vAlign w:val="center"/>
          </w:tcPr>
          <w:p w14:paraId="0CF6F54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直接费</w:t>
            </w:r>
          </w:p>
        </w:tc>
        <w:tc>
          <w:tcPr>
            <w:tcW w:w="1417" w:type="dxa"/>
            <w:noWrap/>
            <w:vAlign w:val="center"/>
          </w:tcPr>
          <w:p w14:paraId="149166C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4" w:type="dxa"/>
            <w:noWrap/>
            <w:vAlign w:val="center"/>
          </w:tcPr>
          <w:p w14:paraId="28359E0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noWrap/>
            <w:vAlign w:val="center"/>
          </w:tcPr>
          <w:p w14:paraId="79F852B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noWrap/>
            <w:vAlign w:val="center"/>
          </w:tcPr>
          <w:p w14:paraId="7C3A2E0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182.62 </w:t>
            </w:r>
          </w:p>
        </w:tc>
      </w:tr>
      <w:tr w14:paraId="02E780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532B70B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484" w:type="dxa"/>
            <w:noWrap/>
            <w:vAlign w:val="center"/>
          </w:tcPr>
          <w:p w14:paraId="2A4B85E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直接工程费</w:t>
            </w:r>
          </w:p>
        </w:tc>
        <w:tc>
          <w:tcPr>
            <w:tcW w:w="1417" w:type="dxa"/>
            <w:noWrap/>
            <w:vAlign w:val="center"/>
          </w:tcPr>
          <w:p w14:paraId="0D6AED2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4" w:type="dxa"/>
            <w:noWrap/>
            <w:vAlign w:val="center"/>
          </w:tcPr>
          <w:p w14:paraId="0A71CDA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noWrap/>
            <w:vAlign w:val="center"/>
          </w:tcPr>
          <w:p w14:paraId="052DF76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noWrap/>
            <w:vAlign w:val="center"/>
          </w:tcPr>
          <w:p w14:paraId="6CCA14D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173.92 </w:t>
            </w:r>
          </w:p>
        </w:tc>
      </w:tr>
      <w:tr w14:paraId="7149AB7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0DA25E4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 </w:t>
            </w:r>
          </w:p>
        </w:tc>
        <w:tc>
          <w:tcPr>
            <w:tcW w:w="2484" w:type="dxa"/>
            <w:noWrap/>
            <w:vAlign w:val="center"/>
          </w:tcPr>
          <w:p w14:paraId="568D810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人工费</w:t>
            </w:r>
          </w:p>
        </w:tc>
        <w:tc>
          <w:tcPr>
            <w:tcW w:w="1417" w:type="dxa"/>
            <w:noWrap/>
            <w:vAlign w:val="center"/>
          </w:tcPr>
          <w:p w14:paraId="3680CCB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4" w:type="dxa"/>
            <w:noWrap/>
            <w:vAlign w:val="center"/>
          </w:tcPr>
          <w:p w14:paraId="41FFA20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noWrap/>
            <w:vAlign w:val="center"/>
          </w:tcPr>
          <w:p w14:paraId="29323DE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noWrap/>
            <w:vAlign w:val="center"/>
          </w:tcPr>
          <w:p w14:paraId="47E3720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45.21 </w:t>
            </w:r>
          </w:p>
        </w:tc>
      </w:tr>
      <w:tr w14:paraId="44CDAA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029E0B7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484" w:type="dxa"/>
            <w:noWrap/>
            <w:vAlign w:val="center"/>
          </w:tcPr>
          <w:p w14:paraId="0FE91E9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甲类工</w:t>
            </w:r>
          </w:p>
        </w:tc>
        <w:tc>
          <w:tcPr>
            <w:tcW w:w="1417" w:type="dxa"/>
            <w:noWrap/>
            <w:vAlign w:val="center"/>
          </w:tcPr>
          <w:p w14:paraId="3793E65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134" w:type="dxa"/>
            <w:noWrap/>
            <w:vAlign w:val="center"/>
          </w:tcPr>
          <w:p w14:paraId="34B6D4F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noWrap/>
            <w:vAlign w:val="center"/>
          </w:tcPr>
          <w:p w14:paraId="4C27541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noWrap/>
            <w:vAlign w:val="center"/>
          </w:tcPr>
          <w:p w14:paraId="7F03567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3DE6F6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0E878FA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484" w:type="dxa"/>
            <w:noWrap/>
            <w:vAlign w:val="center"/>
          </w:tcPr>
          <w:p w14:paraId="127A8B7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乙类工</w:t>
            </w:r>
          </w:p>
        </w:tc>
        <w:tc>
          <w:tcPr>
            <w:tcW w:w="1417" w:type="dxa"/>
            <w:noWrap/>
            <w:vAlign w:val="center"/>
          </w:tcPr>
          <w:p w14:paraId="31B9977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134" w:type="dxa"/>
            <w:noWrap/>
            <w:vAlign w:val="center"/>
          </w:tcPr>
          <w:p w14:paraId="056FA98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1276" w:type="dxa"/>
            <w:noWrap/>
            <w:vAlign w:val="center"/>
          </w:tcPr>
          <w:p w14:paraId="509D148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45.03 </w:t>
            </w:r>
          </w:p>
        </w:tc>
        <w:tc>
          <w:tcPr>
            <w:tcW w:w="1572" w:type="dxa"/>
            <w:noWrap/>
            <w:vAlign w:val="center"/>
          </w:tcPr>
          <w:p w14:paraId="33A7162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45.03 </w:t>
            </w:r>
          </w:p>
        </w:tc>
      </w:tr>
      <w:tr w14:paraId="0E24F2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1B2C605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484" w:type="dxa"/>
            <w:noWrap/>
            <w:vAlign w:val="center"/>
          </w:tcPr>
          <w:p w14:paraId="43E325D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其他人工费</w:t>
            </w:r>
          </w:p>
        </w:tc>
        <w:tc>
          <w:tcPr>
            <w:tcW w:w="1417" w:type="dxa"/>
            <w:noWrap/>
            <w:vAlign w:val="center"/>
          </w:tcPr>
          <w:p w14:paraId="585BEF3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4" w:type="dxa"/>
            <w:noWrap/>
            <w:vAlign w:val="center"/>
          </w:tcPr>
          <w:p w14:paraId="694DE63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0.4</w:t>
            </w:r>
          </w:p>
        </w:tc>
        <w:tc>
          <w:tcPr>
            <w:tcW w:w="1276" w:type="dxa"/>
            <w:noWrap/>
            <w:vAlign w:val="bottom"/>
          </w:tcPr>
          <w:p w14:paraId="545A338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45.03 </w:t>
            </w:r>
          </w:p>
        </w:tc>
        <w:tc>
          <w:tcPr>
            <w:tcW w:w="1572" w:type="dxa"/>
            <w:noWrap/>
            <w:vAlign w:val="center"/>
          </w:tcPr>
          <w:p w14:paraId="3D86D03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0.18 </w:t>
            </w:r>
          </w:p>
        </w:tc>
      </w:tr>
      <w:tr w14:paraId="7CBE8C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178712B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 </w:t>
            </w:r>
          </w:p>
        </w:tc>
        <w:tc>
          <w:tcPr>
            <w:tcW w:w="2484" w:type="dxa"/>
            <w:noWrap/>
            <w:vAlign w:val="center"/>
          </w:tcPr>
          <w:p w14:paraId="7F39FC7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材料费</w:t>
            </w:r>
          </w:p>
        </w:tc>
        <w:tc>
          <w:tcPr>
            <w:tcW w:w="1417" w:type="dxa"/>
            <w:noWrap/>
            <w:vAlign w:val="center"/>
          </w:tcPr>
          <w:p w14:paraId="7FA7105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4" w:type="dxa"/>
            <w:noWrap/>
            <w:vAlign w:val="center"/>
          </w:tcPr>
          <w:p w14:paraId="32CD526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noWrap/>
            <w:vAlign w:val="center"/>
          </w:tcPr>
          <w:p w14:paraId="18D662C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noWrap/>
            <w:vAlign w:val="center"/>
          </w:tcPr>
          <w:p w14:paraId="295D2DF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128.71 </w:t>
            </w:r>
          </w:p>
        </w:tc>
      </w:tr>
      <w:tr w14:paraId="4C05F9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0EECFF8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484" w:type="dxa"/>
            <w:noWrap/>
            <w:vAlign w:val="center"/>
          </w:tcPr>
          <w:p w14:paraId="14504C0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树苗</w:t>
            </w:r>
          </w:p>
        </w:tc>
        <w:tc>
          <w:tcPr>
            <w:tcW w:w="1417" w:type="dxa"/>
            <w:noWrap/>
            <w:vAlign w:val="center"/>
          </w:tcPr>
          <w:p w14:paraId="347B53E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株</w:t>
            </w:r>
          </w:p>
        </w:tc>
        <w:tc>
          <w:tcPr>
            <w:tcW w:w="1134" w:type="dxa"/>
            <w:noWrap/>
            <w:vAlign w:val="center"/>
          </w:tcPr>
          <w:p w14:paraId="1E232AE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102</w:t>
            </w:r>
          </w:p>
        </w:tc>
        <w:tc>
          <w:tcPr>
            <w:tcW w:w="1276" w:type="dxa"/>
            <w:noWrap/>
            <w:vAlign w:val="center"/>
          </w:tcPr>
          <w:p w14:paraId="07CCFDA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1.20 </w:t>
            </w:r>
          </w:p>
        </w:tc>
        <w:tc>
          <w:tcPr>
            <w:tcW w:w="1572" w:type="dxa"/>
            <w:noWrap/>
            <w:vAlign w:val="center"/>
          </w:tcPr>
          <w:p w14:paraId="756BD9F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122.40 </w:t>
            </w:r>
          </w:p>
        </w:tc>
      </w:tr>
      <w:tr w14:paraId="65F43AB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11CB85C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484" w:type="dxa"/>
            <w:noWrap/>
            <w:vAlign w:val="center"/>
          </w:tcPr>
          <w:p w14:paraId="11B1474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水</w:t>
            </w:r>
          </w:p>
        </w:tc>
        <w:tc>
          <w:tcPr>
            <w:tcW w:w="1417" w:type="dxa"/>
            <w:noWrap/>
            <w:vAlign w:val="center"/>
          </w:tcPr>
          <w:p w14:paraId="28249436">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134" w:type="dxa"/>
            <w:noWrap/>
            <w:vAlign w:val="center"/>
          </w:tcPr>
          <w:p w14:paraId="7D433BF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1276" w:type="dxa"/>
            <w:noWrap/>
            <w:vAlign w:val="center"/>
          </w:tcPr>
          <w:p w14:paraId="39ADBC4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1.69 </w:t>
            </w:r>
          </w:p>
        </w:tc>
        <w:tc>
          <w:tcPr>
            <w:tcW w:w="1572" w:type="dxa"/>
            <w:noWrap/>
            <w:vAlign w:val="center"/>
          </w:tcPr>
          <w:p w14:paraId="01F3CB3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5.07 </w:t>
            </w:r>
          </w:p>
        </w:tc>
      </w:tr>
      <w:tr w14:paraId="7B44C29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517288F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484" w:type="dxa"/>
            <w:noWrap/>
            <w:vAlign w:val="center"/>
          </w:tcPr>
          <w:p w14:paraId="762DDDC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其他材料费</w:t>
            </w:r>
          </w:p>
        </w:tc>
        <w:tc>
          <w:tcPr>
            <w:tcW w:w="1417" w:type="dxa"/>
            <w:noWrap/>
            <w:vAlign w:val="center"/>
          </w:tcPr>
          <w:p w14:paraId="130A4B2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4" w:type="dxa"/>
            <w:noWrap/>
            <w:vAlign w:val="center"/>
          </w:tcPr>
          <w:p w14:paraId="503793C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0.4</w:t>
            </w:r>
          </w:p>
        </w:tc>
        <w:tc>
          <w:tcPr>
            <w:tcW w:w="1276" w:type="dxa"/>
            <w:noWrap/>
            <w:vAlign w:val="center"/>
          </w:tcPr>
          <w:p w14:paraId="1A00A9C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311.07 </w:t>
            </w:r>
          </w:p>
        </w:tc>
        <w:tc>
          <w:tcPr>
            <w:tcW w:w="1572" w:type="dxa"/>
            <w:noWrap/>
            <w:vAlign w:val="center"/>
          </w:tcPr>
          <w:p w14:paraId="29581C2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1.24 </w:t>
            </w:r>
          </w:p>
        </w:tc>
      </w:tr>
      <w:tr w14:paraId="4C16352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22F8D60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484" w:type="dxa"/>
            <w:noWrap/>
            <w:vAlign w:val="center"/>
          </w:tcPr>
          <w:p w14:paraId="04EC490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措施费</w:t>
            </w:r>
          </w:p>
        </w:tc>
        <w:tc>
          <w:tcPr>
            <w:tcW w:w="1417" w:type="dxa"/>
            <w:noWrap/>
            <w:vAlign w:val="center"/>
          </w:tcPr>
          <w:p w14:paraId="7FD58D7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4" w:type="dxa"/>
            <w:noWrap/>
            <w:vAlign w:val="center"/>
          </w:tcPr>
          <w:p w14:paraId="624205F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276" w:type="dxa"/>
            <w:noWrap/>
            <w:vAlign w:val="center"/>
          </w:tcPr>
          <w:p w14:paraId="3D54B29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173.92 </w:t>
            </w:r>
          </w:p>
        </w:tc>
        <w:tc>
          <w:tcPr>
            <w:tcW w:w="1572" w:type="dxa"/>
            <w:noWrap/>
            <w:vAlign w:val="center"/>
          </w:tcPr>
          <w:p w14:paraId="3AF98DC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8.70 </w:t>
            </w:r>
          </w:p>
        </w:tc>
      </w:tr>
      <w:tr w14:paraId="0E9735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1217" w:type="dxa"/>
            <w:noWrap/>
            <w:vAlign w:val="center"/>
          </w:tcPr>
          <w:p w14:paraId="4CA3DC9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484" w:type="dxa"/>
            <w:noWrap/>
            <w:vAlign w:val="center"/>
          </w:tcPr>
          <w:p w14:paraId="6DAA55C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间接费</w:t>
            </w:r>
          </w:p>
        </w:tc>
        <w:tc>
          <w:tcPr>
            <w:tcW w:w="1417" w:type="dxa"/>
            <w:noWrap/>
            <w:vAlign w:val="center"/>
          </w:tcPr>
          <w:p w14:paraId="0F13869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4" w:type="dxa"/>
            <w:noWrap/>
            <w:vAlign w:val="center"/>
          </w:tcPr>
          <w:p w14:paraId="3206DFF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276" w:type="dxa"/>
            <w:noWrap/>
            <w:vAlign w:val="center"/>
          </w:tcPr>
          <w:p w14:paraId="75E72F9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182.62 </w:t>
            </w:r>
          </w:p>
        </w:tc>
        <w:tc>
          <w:tcPr>
            <w:tcW w:w="1572" w:type="dxa"/>
            <w:noWrap/>
            <w:vAlign w:val="center"/>
          </w:tcPr>
          <w:p w14:paraId="02AF143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9.13 </w:t>
            </w:r>
          </w:p>
        </w:tc>
      </w:tr>
      <w:tr w14:paraId="48933F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32F6559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w:t>
            </w:r>
          </w:p>
        </w:tc>
        <w:tc>
          <w:tcPr>
            <w:tcW w:w="2484" w:type="dxa"/>
            <w:noWrap/>
            <w:vAlign w:val="center"/>
          </w:tcPr>
          <w:p w14:paraId="31EE70D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利润</w:t>
            </w:r>
          </w:p>
        </w:tc>
        <w:tc>
          <w:tcPr>
            <w:tcW w:w="1417" w:type="dxa"/>
            <w:noWrap/>
            <w:vAlign w:val="center"/>
          </w:tcPr>
          <w:p w14:paraId="2058D7F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4" w:type="dxa"/>
            <w:noWrap/>
            <w:vAlign w:val="center"/>
          </w:tcPr>
          <w:p w14:paraId="71C344F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w:t>
            </w:r>
          </w:p>
        </w:tc>
        <w:tc>
          <w:tcPr>
            <w:tcW w:w="1276" w:type="dxa"/>
            <w:noWrap/>
            <w:vAlign w:val="center"/>
          </w:tcPr>
          <w:p w14:paraId="3F87131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191.75 </w:t>
            </w:r>
          </w:p>
        </w:tc>
        <w:tc>
          <w:tcPr>
            <w:tcW w:w="1572" w:type="dxa"/>
            <w:noWrap/>
            <w:vAlign w:val="center"/>
          </w:tcPr>
          <w:p w14:paraId="37424D7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13.42 </w:t>
            </w:r>
          </w:p>
        </w:tc>
      </w:tr>
      <w:tr w14:paraId="5BE5FF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2BAAF0E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四</w:t>
            </w:r>
          </w:p>
        </w:tc>
        <w:tc>
          <w:tcPr>
            <w:tcW w:w="2484" w:type="dxa"/>
            <w:noWrap/>
            <w:vAlign w:val="center"/>
          </w:tcPr>
          <w:p w14:paraId="710621C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材料价差</w:t>
            </w:r>
          </w:p>
        </w:tc>
        <w:tc>
          <w:tcPr>
            <w:tcW w:w="1417" w:type="dxa"/>
            <w:noWrap/>
            <w:vAlign w:val="center"/>
          </w:tcPr>
          <w:p w14:paraId="3CDE9B9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4" w:type="dxa"/>
            <w:noWrap/>
            <w:vAlign w:val="center"/>
          </w:tcPr>
          <w:p w14:paraId="3751B5B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noWrap/>
            <w:vAlign w:val="center"/>
          </w:tcPr>
          <w:p w14:paraId="4F15301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noWrap/>
            <w:vAlign w:val="center"/>
          </w:tcPr>
          <w:p w14:paraId="63C68E0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6F3F09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0808D0D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五</w:t>
            </w:r>
          </w:p>
        </w:tc>
        <w:tc>
          <w:tcPr>
            <w:tcW w:w="2484" w:type="dxa"/>
            <w:noWrap/>
            <w:vAlign w:val="center"/>
          </w:tcPr>
          <w:p w14:paraId="119DFAF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未计价材料费</w:t>
            </w:r>
          </w:p>
        </w:tc>
        <w:tc>
          <w:tcPr>
            <w:tcW w:w="1417" w:type="dxa"/>
            <w:noWrap/>
            <w:vAlign w:val="center"/>
          </w:tcPr>
          <w:p w14:paraId="7F41ABB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4" w:type="dxa"/>
            <w:noWrap/>
            <w:vAlign w:val="center"/>
          </w:tcPr>
          <w:p w14:paraId="2E0D297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noWrap/>
            <w:vAlign w:val="center"/>
          </w:tcPr>
          <w:p w14:paraId="5FF5676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noWrap/>
            <w:vAlign w:val="center"/>
          </w:tcPr>
          <w:p w14:paraId="2D0CB08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5E34B9C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20631E4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六</w:t>
            </w:r>
          </w:p>
        </w:tc>
        <w:tc>
          <w:tcPr>
            <w:tcW w:w="2484" w:type="dxa"/>
            <w:noWrap/>
            <w:vAlign w:val="center"/>
          </w:tcPr>
          <w:p w14:paraId="75F5738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税金</w:t>
            </w:r>
          </w:p>
        </w:tc>
        <w:tc>
          <w:tcPr>
            <w:tcW w:w="1417" w:type="dxa"/>
            <w:noWrap/>
            <w:vAlign w:val="center"/>
          </w:tcPr>
          <w:p w14:paraId="175E236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4" w:type="dxa"/>
            <w:noWrap/>
            <w:vAlign w:val="center"/>
          </w:tcPr>
          <w:p w14:paraId="507E820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w:t>
            </w:r>
          </w:p>
        </w:tc>
        <w:tc>
          <w:tcPr>
            <w:tcW w:w="1276" w:type="dxa"/>
            <w:noWrap/>
            <w:vAlign w:val="center"/>
          </w:tcPr>
          <w:p w14:paraId="505E38D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205.17 </w:t>
            </w:r>
          </w:p>
        </w:tc>
        <w:tc>
          <w:tcPr>
            <w:tcW w:w="1572" w:type="dxa"/>
            <w:noWrap/>
            <w:vAlign w:val="center"/>
          </w:tcPr>
          <w:p w14:paraId="0BAFC2D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18.47 </w:t>
            </w:r>
          </w:p>
        </w:tc>
      </w:tr>
      <w:tr w14:paraId="1E6602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6E84B3F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2484" w:type="dxa"/>
            <w:noWrap/>
            <w:vAlign w:val="center"/>
          </w:tcPr>
          <w:p w14:paraId="091A7C62">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417" w:type="dxa"/>
            <w:noWrap/>
            <w:vAlign w:val="center"/>
          </w:tcPr>
          <w:p w14:paraId="5CE7D6E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noWrap/>
            <w:vAlign w:val="center"/>
          </w:tcPr>
          <w:p w14:paraId="6D31BF9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noWrap/>
            <w:vAlign w:val="center"/>
          </w:tcPr>
          <w:p w14:paraId="6E3735D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noWrap/>
            <w:vAlign w:val="center"/>
          </w:tcPr>
          <w:p w14:paraId="0523E3A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223.64</w:t>
            </w:r>
          </w:p>
        </w:tc>
      </w:tr>
    </w:tbl>
    <w:p w14:paraId="37D08644">
      <w:pPr>
        <w:snapToGrid w:val="0"/>
        <w:ind w:firstLine="420" w:firstLineChars="200"/>
        <w:jc w:val="center"/>
        <w:rPr>
          <w:rFonts w:ascii="Times New Roman" w:hAnsi="Times New Roman" w:eastAsia="黑体" w:cs="Times New Roman"/>
          <w:color w:val="000000" w:themeColor="text1"/>
        </w:rPr>
      </w:pPr>
    </w:p>
    <w:p w14:paraId="5EF588A9">
      <w:pPr>
        <w:snapToGrid w:val="0"/>
        <w:ind w:firstLine="420" w:firstLineChars="200"/>
        <w:jc w:val="center"/>
        <w:rPr>
          <w:rFonts w:ascii="Times New Roman" w:hAnsi="Times New Roman" w:eastAsia="黑体" w:cs="Times New Roman"/>
          <w:color w:val="000000" w:themeColor="text1"/>
        </w:rPr>
      </w:pPr>
    </w:p>
    <w:p w14:paraId="440FBB80">
      <w:pPr>
        <w:snapToGrid w:val="0"/>
        <w:ind w:firstLine="420" w:firstLineChars="200"/>
        <w:jc w:val="center"/>
        <w:rPr>
          <w:rFonts w:ascii="Times New Roman" w:hAnsi="Times New Roman" w:eastAsia="黑体" w:cs="Times New Roman"/>
          <w:color w:val="000000" w:themeColor="text1"/>
        </w:rPr>
      </w:pPr>
    </w:p>
    <w:p w14:paraId="36E93D91">
      <w:pPr>
        <w:snapToGrid w:val="0"/>
        <w:ind w:firstLine="420" w:firstLineChars="200"/>
        <w:jc w:val="center"/>
        <w:rPr>
          <w:rFonts w:ascii="Times New Roman" w:hAnsi="Times New Roman" w:eastAsia="黑体" w:cs="Times New Roman"/>
          <w:color w:val="000000" w:themeColor="text1"/>
        </w:rPr>
      </w:pPr>
    </w:p>
    <w:p w14:paraId="1C2D3DCC">
      <w:pPr>
        <w:snapToGrid w:val="0"/>
        <w:ind w:firstLine="420" w:firstLineChars="200"/>
        <w:jc w:val="center"/>
        <w:rPr>
          <w:rFonts w:ascii="Times New Roman" w:hAnsi="Times New Roman" w:eastAsia="黑体" w:cs="Times New Roman"/>
          <w:color w:val="000000" w:themeColor="text1"/>
        </w:rPr>
      </w:pPr>
    </w:p>
    <w:p w14:paraId="7853BCE3">
      <w:pPr>
        <w:snapToGrid w:val="0"/>
        <w:ind w:firstLine="420" w:firstLineChars="200"/>
        <w:jc w:val="center"/>
        <w:rPr>
          <w:rFonts w:ascii="Times New Roman" w:hAnsi="Times New Roman" w:eastAsia="黑体" w:cs="Times New Roman"/>
          <w:color w:val="000000" w:themeColor="text1"/>
        </w:rPr>
      </w:pPr>
    </w:p>
    <w:p w14:paraId="7EC2F3CC">
      <w:pPr>
        <w:snapToGrid w:val="0"/>
        <w:ind w:firstLine="420" w:firstLineChars="200"/>
        <w:jc w:val="center"/>
        <w:rPr>
          <w:rFonts w:ascii="Times New Roman" w:hAnsi="Times New Roman" w:eastAsia="黑体" w:cs="Times New Roman"/>
          <w:color w:val="000000" w:themeColor="text1"/>
        </w:rPr>
      </w:pPr>
    </w:p>
    <w:p w14:paraId="719764DC">
      <w:pPr>
        <w:snapToGrid w:val="0"/>
        <w:ind w:firstLine="420" w:firstLineChars="200"/>
        <w:jc w:val="center"/>
        <w:rPr>
          <w:rFonts w:ascii="Times New Roman" w:hAnsi="Times New Roman" w:eastAsia="黑体" w:cs="Times New Roman"/>
          <w:color w:val="000000" w:themeColor="text1"/>
        </w:rPr>
      </w:pPr>
    </w:p>
    <w:p w14:paraId="6485E59E">
      <w:pPr>
        <w:snapToGrid w:val="0"/>
        <w:ind w:firstLine="420" w:firstLineChars="200"/>
        <w:jc w:val="center"/>
        <w:rPr>
          <w:rFonts w:ascii="Times New Roman" w:hAnsi="Times New Roman" w:eastAsia="黑体" w:cs="Times New Roman"/>
          <w:color w:val="000000" w:themeColor="text1"/>
        </w:rPr>
      </w:pPr>
    </w:p>
    <w:p w14:paraId="0C2E82FA">
      <w:pPr>
        <w:snapToGrid w:val="0"/>
        <w:ind w:firstLine="420" w:firstLineChars="200"/>
        <w:jc w:val="center"/>
        <w:rPr>
          <w:rFonts w:ascii="Times New Roman" w:hAnsi="Times New Roman" w:eastAsia="黑体" w:cs="Times New Roman"/>
          <w:color w:val="000000" w:themeColor="text1"/>
        </w:rPr>
      </w:pPr>
    </w:p>
    <w:p w14:paraId="5C9DE282">
      <w:pPr>
        <w:snapToGrid w:val="0"/>
        <w:ind w:firstLine="420" w:firstLineChars="200"/>
        <w:jc w:val="center"/>
        <w:rPr>
          <w:rFonts w:ascii="Times New Roman" w:hAnsi="Times New Roman" w:eastAsia="黑体" w:cs="Times New Roman"/>
          <w:color w:val="000000" w:themeColor="text1"/>
        </w:rPr>
      </w:pPr>
    </w:p>
    <w:p w14:paraId="520EAAF5">
      <w:pPr>
        <w:snapToGrid w:val="0"/>
        <w:ind w:firstLine="420" w:firstLineChars="200"/>
        <w:jc w:val="center"/>
        <w:rPr>
          <w:rFonts w:ascii="Times New Roman" w:hAnsi="Times New Roman" w:eastAsia="黑体" w:cs="Times New Roman"/>
          <w:color w:val="000000" w:themeColor="text1"/>
        </w:rPr>
      </w:pPr>
    </w:p>
    <w:p w14:paraId="2B82B674">
      <w:pPr>
        <w:snapToGrid w:val="0"/>
        <w:ind w:firstLine="420" w:firstLineChars="200"/>
        <w:jc w:val="center"/>
        <w:rPr>
          <w:rFonts w:ascii="Times New Roman" w:hAnsi="Times New Roman" w:eastAsia="黑体" w:cs="Times New Roman"/>
          <w:color w:val="000000" w:themeColor="text1"/>
        </w:rPr>
      </w:pPr>
    </w:p>
    <w:p w14:paraId="00D94C3A">
      <w:pPr>
        <w:snapToGrid w:val="0"/>
        <w:ind w:firstLine="420" w:firstLineChars="200"/>
        <w:jc w:val="center"/>
        <w:rPr>
          <w:rFonts w:ascii="Times New Roman" w:hAnsi="Times New Roman" w:eastAsia="黑体" w:cs="Times New Roman"/>
          <w:color w:val="000000" w:themeColor="text1"/>
        </w:rPr>
      </w:pPr>
    </w:p>
    <w:p w14:paraId="046C5E0A">
      <w:pPr>
        <w:snapToGrid w:val="0"/>
        <w:ind w:firstLine="420" w:firstLineChars="200"/>
        <w:jc w:val="center"/>
        <w:rPr>
          <w:rFonts w:ascii="Times New Roman" w:hAnsi="Times New Roman" w:eastAsia="黑体" w:cs="Times New Roman"/>
          <w:color w:val="000000" w:themeColor="text1"/>
        </w:rPr>
      </w:pPr>
    </w:p>
    <w:p w14:paraId="1A725350">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表6-1</w:t>
      </w:r>
      <w:r>
        <w:rPr>
          <w:rFonts w:hint="eastAsia" w:ascii="Times New Roman" w:hAnsi="Times New Roman" w:cs="Times New Roman"/>
          <w:b/>
          <w:color w:val="000000" w:themeColor="text1"/>
          <w:sz w:val="24"/>
          <w:szCs w:val="24"/>
        </w:rPr>
        <w:t>8</w:t>
      </w:r>
      <w:r>
        <w:rPr>
          <w:rFonts w:ascii="Times New Roman" w:hAnsi="Times New Roman" w:cs="Times New Roman"/>
          <w:b/>
          <w:color w:val="000000" w:themeColor="text1"/>
          <w:sz w:val="24"/>
          <w:szCs w:val="24"/>
        </w:rPr>
        <w:t xml:space="preserve"> 栽植落叶松</w:t>
      </w:r>
    </w:p>
    <w:p w14:paraId="1D69EBC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定额编号：9-001                                             定额单位：100株</w:t>
      </w:r>
    </w:p>
    <w:p w14:paraId="1BF32FD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工作内容：挖坑，栽植，浇水，覆土保墒，整形，清理。             金额单位：元</w:t>
      </w:r>
    </w:p>
    <w:tbl>
      <w:tblPr>
        <w:tblStyle w:val="42"/>
        <w:tblW w:w="5000" w:type="pct"/>
        <w:tblInd w:w="0" w:type="dxa"/>
        <w:tblLayout w:type="autofit"/>
        <w:tblCellMar>
          <w:top w:w="11" w:type="dxa"/>
          <w:left w:w="11" w:type="dxa"/>
          <w:bottom w:w="11" w:type="dxa"/>
          <w:right w:w="11" w:type="dxa"/>
        </w:tblCellMar>
      </w:tblPr>
      <w:tblGrid>
        <w:gridCol w:w="1190"/>
        <w:gridCol w:w="2514"/>
        <w:gridCol w:w="1416"/>
        <w:gridCol w:w="1133"/>
        <w:gridCol w:w="1276"/>
        <w:gridCol w:w="1571"/>
      </w:tblGrid>
      <w:tr w14:paraId="125C3775">
        <w:tblPrEx>
          <w:tblCellMar>
            <w:top w:w="11" w:type="dxa"/>
            <w:left w:w="11" w:type="dxa"/>
            <w:bottom w:w="11" w:type="dxa"/>
            <w:right w:w="11" w:type="dxa"/>
          </w:tblCellMar>
        </w:tblPrEx>
        <w:trPr>
          <w:trHeight w:val="20" w:hRule="atLeast"/>
        </w:trPr>
        <w:tc>
          <w:tcPr>
            <w:tcW w:w="1190" w:type="dxa"/>
            <w:tcBorders>
              <w:top w:val="single" w:color="000000" w:sz="12" w:space="0"/>
              <w:left w:val="single" w:color="000000" w:sz="12" w:space="0"/>
              <w:bottom w:val="single" w:color="000000" w:sz="8" w:space="0"/>
              <w:right w:val="single" w:color="000000" w:sz="8" w:space="0"/>
            </w:tcBorders>
            <w:shd w:val="clear" w:color="auto" w:fill="auto"/>
            <w:vAlign w:val="center"/>
          </w:tcPr>
          <w:p w14:paraId="65F74DFA">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编号</w:t>
            </w:r>
          </w:p>
        </w:tc>
        <w:tc>
          <w:tcPr>
            <w:tcW w:w="2514" w:type="dxa"/>
            <w:tcBorders>
              <w:top w:val="single" w:color="000000" w:sz="12" w:space="0"/>
              <w:left w:val="nil"/>
              <w:bottom w:val="single" w:color="000000" w:sz="8" w:space="0"/>
              <w:right w:val="single" w:color="000000" w:sz="8" w:space="0"/>
            </w:tcBorders>
            <w:shd w:val="clear" w:color="auto" w:fill="auto"/>
            <w:vAlign w:val="center"/>
          </w:tcPr>
          <w:p w14:paraId="61DB0920">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项目名称</w:t>
            </w:r>
          </w:p>
        </w:tc>
        <w:tc>
          <w:tcPr>
            <w:tcW w:w="1416" w:type="dxa"/>
            <w:tcBorders>
              <w:top w:val="single" w:color="000000" w:sz="12" w:space="0"/>
              <w:left w:val="nil"/>
              <w:bottom w:val="single" w:color="000000" w:sz="8" w:space="0"/>
              <w:right w:val="single" w:color="000000" w:sz="8" w:space="0"/>
            </w:tcBorders>
            <w:shd w:val="clear" w:color="auto" w:fill="auto"/>
            <w:vAlign w:val="center"/>
          </w:tcPr>
          <w:p w14:paraId="024DB9AB">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单位</w:t>
            </w:r>
          </w:p>
        </w:tc>
        <w:tc>
          <w:tcPr>
            <w:tcW w:w="1133" w:type="dxa"/>
            <w:tcBorders>
              <w:top w:val="single" w:color="000000" w:sz="12" w:space="0"/>
              <w:left w:val="nil"/>
              <w:bottom w:val="single" w:color="000000" w:sz="8" w:space="0"/>
              <w:right w:val="single" w:color="000000" w:sz="8" w:space="0"/>
            </w:tcBorders>
            <w:shd w:val="clear" w:color="auto" w:fill="auto"/>
            <w:vAlign w:val="center"/>
          </w:tcPr>
          <w:p w14:paraId="5410F485">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数量</w:t>
            </w:r>
          </w:p>
        </w:tc>
        <w:tc>
          <w:tcPr>
            <w:tcW w:w="1276" w:type="dxa"/>
            <w:tcBorders>
              <w:top w:val="single" w:color="000000" w:sz="12" w:space="0"/>
              <w:left w:val="nil"/>
              <w:bottom w:val="single" w:color="000000" w:sz="8" w:space="0"/>
              <w:right w:val="single" w:color="000000" w:sz="8" w:space="0"/>
            </w:tcBorders>
            <w:shd w:val="clear" w:color="auto" w:fill="auto"/>
            <w:vAlign w:val="center"/>
          </w:tcPr>
          <w:p w14:paraId="1409533D">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单价</w:t>
            </w:r>
          </w:p>
        </w:tc>
        <w:tc>
          <w:tcPr>
            <w:tcW w:w="1571" w:type="dxa"/>
            <w:tcBorders>
              <w:top w:val="single" w:color="000000" w:sz="12" w:space="0"/>
              <w:left w:val="nil"/>
              <w:bottom w:val="single" w:color="000000" w:sz="8" w:space="0"/>
              <w:right w:val="single" w:color="000000" w:sz="12" w:space="0"/>
            </w:tcBorders>
            <w:shd w:val="clear" w:color="auto" w:fill="auto"/>
            <w:vAlign w:val="center"/>
          </w:tcPr>
          <w:p w14:paraId="3D606A11">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小计</w:t>
            </w:r>
          </w:p>
        </w:tc>
      </w:tr>
      <w:tr w14:paraId="0E8CB4F5">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798EC11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514" w:type="dxa"/>
            <w:tcBorders>
              <w:top w:val="nil"/>
              <w:left w:val="nil"/>
              <w:bottom w:val="single" w:color="000000" w:sz="8" w:space="0"/>
              <w:right w:val="single" w:color="000000" w:sz="8" w:space="0"/>
            </w:tcBorders>
            <w:shd w:val="clear" w:color="auto" w:fill="auto"/>
            <w:vAlign w:val="center"/>
          </w:tcPr>
          <w:p w14:paraId="2C737D4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直接费</w:t>
            </w:r>
          </w:p>
        </w:tc>
        <w:tc>
          <w:tcPr>
            <w:tcW w:w="1416" w:type="dxa"/>
            <w:tcBorders>
              <w:top w:val="nil"/>
              <w:left w:val="nil"/>
              <w:bottom w:val="single" w:color="000000" w:sz="8" w:space="0"/>
              <w:right w:val="single" w:color="000000" w:sz="8" w:space="0"/>
            </w:tcBorders>
            <w:shd w:val="clear" w:color="auto" w:fill="auto"/>
            <w:vAlign w:val="center"/>
          </w:tcPr>
          <w:p w14:paraId="0DC300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57742BC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bottom"/>
          </w:tcPr>
          <w:p w14:paraId="304A9FAB">
            <w:pPr>
              <w:jc w:val="center"/>
              <w:rPr>
                <w:rFonts w:ascii="Times New Roman" w:hAnsi="Times New Roman" w:cs="Times New Roman"/>
                <w:color w:val="000000" w:themeColor="text1"/>
              </w:rPr>
            </w:pPr>
            <w:r>
              <w:rPr>
                <w:rFonts w:ascii="Times New Roman" w:hAnsi="Times New Roman" w:cs="Times New Roman"/>
                <w:color w:val="000000" w:themeColor="text1"/>
              </w:rPr>
              <w:t>　</w:t>
            </w:r>
          </w:p>
        </w:tc>
        <w:tc>
          <w:tcPr>
            <w:tcW w:w="1571" w:type="dxa"/>
            <w:tcBorders>
              <w:top w:val="nil"/>
              <w:left w:val="nil"/>
              <w:bottom w:val="single" w:color="000000" w:sz="8" w:space="0"/>
              <w:right w:val="single" w:color="000000" w:sz="12" w:space="0"/>
            </w:tcBorders>
            <w:shd w:val="clear" w:color="auto" w:fill="auto"/>
            <w:vAlign w:val="bottom"/>
          </w:tcPr>
          <w:p w14:paraId="5DE20E71">
            <w:pPr>
              <w:jc w:val="center"/>
              <w:rPr>
                <w:rFonts w:ascii="Times New Roman" w:hAnsi="Times New Roman" w:cs="Times New Roman"/>
                <w:color w:val="000000" w:themeColor="text1"/>
              </w:rPr>
            </w:pPr>
            <w:r>
              <w:rPr>
                <w:rFonts w:ascii="Times New Roman" w:hAnsi="Times New Roman" w:cs="Times New Roman"/>
                <w:color w:val="000000" w:themeColor="text1"/>
              </w:rPr>
              <w:t xml:space="preserve">722.31 </w:t>
            </w:r>
          </w:p>
        </w:tc>
      </w:tr>
      <w:tr w14:paraId="369EC66A">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08DD1E3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w:t>
            </w:r>
          </w:p>
        </w:tc>
        <w:tc>
          <w:tcPr>
            <w:tcW w:w="2514" w:type="dxa"/>
            <w:tcBorders>
              <w:top w:val="nil"/>
              <w:left w:val="nil"/>
              <w:bottom w:val="single" w:color="000000" w:sz="8" w:space="0"/>
              <w:right w:val="single" w:color="000000" w:sz="8" w:space="0"/>
            </w:tcBorders>
            <w:shd w:val="clear" w:color="auto" w:fill="auto"/>
            <w:vAlign w:val="center"/>
          </w:tcPr>
          <w:p w14:paraId="332783C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直接工程费</w:t>
            </w:r>
          </w:p>
        </w:tc>
        <w:tc>
          <w:tcPr>
            <w:tcW w:w="1416" w:type="dxa"/>
            <w:tcBorders>
              <w:top w:val="nil"/>
              <w:left w:val="nil"/>
              <w:bottom w:val="single" w:color="000000" w:sz="8" w:space="0"/>
              <w:right w:val="single" w:color="000000" w:sz="8" w:space="0"/>
            </w:tcBorders>
            <w:shd w:val="clear" w:color="auto" w:fill="auto"/>
            <w:vAlign w:val="center"/>
          </w:tcPr>
          <w:p w14:paraId="45FD857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367F1D1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64A996B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5B55DC8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687.92 </w:t>
            </w:r>
          </w:p>
        </w:tc>
      </w:tr>
      <w:tr w14:paraId="7A7A37E0">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7CBAD8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14" w:type="dxa"/>
            <w:tcBorders>
              <w:top w:val="nil"/>
              <w:left w:val="nil"/>
              <w:bottom w:val="single" w:color="000000" w:sz="8" w:space="0"/>
              <w:right w:val="single" w:color="000000" w:sz="8" w:space="0"/>
            </w:tcBorders>
            <w:shd w:val="clear" w:color="auto" w:fill="auto"/>
            <w:vAlign w:val="center"/>
          </w:tcPr>
          <w:p w14:paraId="2092F39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人工费</w:t>
            </w:r>
          </w:p>
        </w:tc>
        <w:tc>
          <w:tcPr>
            <w:tcW w:w="1416" w:type="dxa"/>
            <w:tcBorders>
              <w:top w:val="nil"/>
              <w:left w:val="nil"/>
              <w:bottom w:val="single" w:color="000000" w:sz="8" w:space="0"/>
              <w:right w:val="single" w:color="000000" w:sz="8" w:space="0"/>
            </w:tcBorders>
            <w:shd w:val="clear" w:color="auto" w:fill="auto"/>
            <w:vAlign w:val="center"/>
          </w:tcPr>
          <w:p w14:paraId="586D4C7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65D3956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1DBA8CC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7CE868A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171.97 </w:t>
            </w:r>
          </w:p>
        </w:tc>
      </w:tr>
      <w:tr w14:paraId="79342DE5">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4556121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14" w:type="dxa"/>
            <w:tcBorders>
              <w:top w:val="nil"/>
              <w:left w:val="nil"/>
              <w:bottom w:val="single" w:color="000000" w:sz="8" w:space="0"/>
              <w:right w:val="single" w:color="000000" w:sz="8" w:space="0"/>
            </w:tcBorders>
            <w:shd w:val="clear" w:color="auto" w:fill="auto"/>
            <w:vAlign w:val="center"/>
          </w:tcPr>
          <w:p w14:paraId="7384303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甲类工</w:t>
            </w:r>
          </w:p>
        </w:tc>
        <w:tc>
          <w:tcPr>
            <w:tcW w:w="1416" w:type="dxa"/>
            <w:tcBorders>
              <w:top w:val="nil"/>
              <w:left w:val="nil"/>
              <w:bottom w:val="single" w:color="000000" w:sz="8" w:space="0"/>
              <w:right w:val="single" w:color="000000" w:sz="8" w:space="0"/>
            </w:tcBorders>
            <w:shd w:val="clear" w:color="auto" w:fill="auto"/>
            <w:vAlign w:val="center"/>
          </w:tcPr>
          <w:p w14:paraId="67AE5ED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133" w:type="dxa"/>
            <w:tcBorders>
              <w:top w:val="nil"/>
              <w:left w:val="nil"/>
              <w:bottom w:val="single" w:color="000000" w:sz="8" w:space="0"/>
              <w:right w:val="single" w:color="000000" w:sz="8" w:space="0"/>
            </w:tcBorders>
            <w:shd w:val="clear" w:color="auto" w:fill="auto"/>
            <w:vAlign w:val="center"/>
          </w:tcPr>
          <w:p w14:paraId="03093EC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1054CCE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5EB4F9A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27AB609C">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78A24D6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14" w:type="dxa"/>
            <w:tcBorders>
              <w:top w:val="nil"/>
              <w:left w:val="nil"/>
              <w:bottom w:val="single" w:color="000000" w:sz="8" w:space="0"/>
              <w:right w:val="single" w:color="000000" w:sz="8" w:space="0"/>
            </w:tcBorders>
            <w:shd w:val="clear" w:color="auto" w:fill="auto"/>
            <w:vAlign w:val="center"/>
          </w:tcPr>
          <w:p w14:paraId="7746AC5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乙类工</w:t>
            </w:r>
          </w:p>
        </w:tc>
        <w:tc>
          <w:tcPr>
            <w:tcW w:w="1416" w:type="dxa"/>
            <w:tcBorders>
              <w:top w:val="nil"/>
              <w:left w:val="nil"/>
              <w:bottom w:val="single" w:color="000000" w:sz="8" w:space="0"/>
              <w:right w:val="single" w:color="000000" w:sz="8" w:space="0"/>
            </w:tcBorders>
            <w:shd w:val="clear" w:color="auto" w:fill="auto"/>
            <w:vAlign w:val="center"/>
          </w:tcPr>
          <w:p w14:paraId="5886C83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1133" w:type="dxa"/>
            <w:tcBorders>
              <w:top w:val="nil"/>
              <w:left w:val="nil"/>
              <w:bottom w:val="single" w:color="000000" w:sz="8" w:space="0"/>
              <w:right w:val="single" w:color="000000" w:sz="8" w:space="0"/>
            </w:tcBorders>
            <w:shd w:val="clear" w:color="auto" w:fill="auto"/>
            <w:vAlign w:val="center"/>
          </w:tcPr>
          <w:p w14:paraId="3712091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3.8</w:t>
            </w:r>
          </w:p>
        </w:tc>
        <w:tc>
          <w:tcPr>
            <w:tcW w:w="1276" w:type="dxa"/>
            <w:tcBorders>
              <w:top w:val="nil"/>
              <w:left w:val="nil"/>
              <w:bottom w:val="single" w:color="000000" w:sz="8" w:space="0"/>
              <w:right w:val="single" w:color="000000" w:sz="8" w:space="0"/>
            </w:tcBorders>
            <w:shd w:val="clear" w:color="auto" w:fill="auto"/>
            <w:vAlign w:val="center"/>
          </w:tcPr>
          <w:p w14:paraId="3AC9DF0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45.03 </w:t>
            </w:r>
          </w:p>
        </w:tc>
        <w:tc>
          <w:tcPr>
            <w:tcW w:w="1571" w:type="dxa"/>
            <w:tcBorders>
              <w:top w:val="nil"/>
              <w:left w:val="nil"/>
              <w:bottom w:val="single" w:color="000000" w:sz="8" w:space="0"/>
              <w:right w:val="single" w:color="000000" w:sz="12" w:space="0"/>
            </w:tcBorders>
            <w:shd w:val="clear" w:color="auto" w:fill="auto"/>
            <w:vAlign w:val="bottom"/>
          </w:tcPr>
          <w:p w14:paraId="036C41F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171.11 </w:t>
            </w:r>
          </w:p>
        </w:tc>
      </w:tr>
      <w:tr w14:paraId="0F035D7B">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5070AF7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514" w:type="dxa"/>
            <w:tcBorders>
              <w:top w:val="nil"/>
              <w:left w:val="nil"/>
              <w:bottom w:val="single" w:color="000000" w:sz="8" w:space="0"/>
              <w:right w:val="single" w:color="000000" w:sz="8" w:space="0"/>
            </w:tcBorders>
            <w:shd w:val="clear" w:color="auto" w:fill="auto"/>
            <w:vAlign w:val="center"/>
          </w:tcPr>
          <w:p w14:paraId="1F991D4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其他人工费</w:t>
            </w:r>
          </w:p>
        </w:tc>
        <w:tc>
          <w:tcPr>
            <w:tcW w:w="1416" w:type="dxa"/>
            <w:tcBorders>
              <w:top w:val="nil"/>
              <w:left w:val="nil"/>
              <w:bottom w:val="single" w:color="000000" w:sz="8" w:space="0"/>
              <w:right w:val="single" w:color="000000" w:sz="8" w:space="0"/>
            </w:tcBorders>
            <w:shd w:val="clear" w:color="auto" w:fill="auto"/>
            <w:vAlign w:val="center"/>
          </w:tcPr>
          <w:p w14:paraId="67C4DE7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45BFDA5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0.5</w:t>
            </w:r>
          </w:p>
        </w:tc>
        <w:tc>
          <w:tcPr>
            <w:tcW w:w="1276" w:type="dxa"/>
            <w:tcBorders>
              <w:top w:val="nil"/>
              <w:left w:val="nil"/>
              <w:bottom w:val="single" w:color="000000" w:sz="8" w:space="0"/>
              <w:right w:val="single" w:color="000000" w:sz="8" w:space="0"/>
            </w:tcBorders>
            <w:shd w:val="clear" w:color="auto" w:fill="auto"/>
            <w:vAlign w:val="center"/>
          </w:tcPr>
          <w:p w14:paraId="56682B4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171.11 </w:t>
            </w:r>
          </w:p>
        </w:tc>
        <w:tc>
          <w:tcPr>
            <w:tcW w:w="1571" w:type="dxa"/>
            <w:tcBorders>
              <w:top w:val="nil"/>
              <w:left w:val="nil"/>
              <w:bottom w:val="single" w:color="000000" w:sz="8" w:space="0"/>
              <w:right w:val="single" w:color="000000" w:sz="12" w:space="0"/>
            </w:tcBorders>
            <w:shd w:val="clear" w:color="auto" w:fill="auto"/>
            <w:vAlign w:val="bottom"/>
          </w:tcPr>
          <w:p w14:paraId="0F48B60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0.86 </w:t>
            </w:r>
          </w:p>
        </w:tc>
      </w:tr>
      <w:tr w14:paraId="2EB5EC83">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B32E5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14" w:type="dxa"/>
            <w:tcBorders>
              <w:top w:val="nil"/>
              <w:left w:val="nil"/>
              <w:bottom w:val="single" w:color="000000" w:sz="8" w:space="0"/>
              <w:right w:val="single" w:color="000000" w:sz="8" w:space="0"/>
            </w:tcBorders>
            <w:shd w:val="clear" w:color="auto" w:fill="auto"/>
            <w:vAlign w:val="center"/>
          </w:tcPr>
          <w:p w14:paraId="7372E6F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材料费</w:t>
            </w:r>
          </w:p>
        </w:tc>
        <w:tc>
          <w:tcPr>
            <w:tcW w:w="1416" w:type="dxa"/>
            <w:tcBorders>
              <w:top w:val="nil"/>
              <w:left w:val="nil"/>
              <w:bottom w:val="single" w:color="000000" w:sz="8" w:space="0"/>
              <w:right w:val="single" w:color="000000" w:sz="8" w:space="0"/>
            </w:tcBorders>
            <w:shd w:val="clear" w:color="auto" w:fill="auto"/>
            <w:vAlign w:val="center"/>
          </w:tcPr>
          <w:p w14:paraId="6E99C7B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655E85D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6D715E9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45EE0D8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515.95 </w:t>
            </w:r>
          </w:p>
        </w:tc>
      </w:tr>
      <w:tr w14:paraId="21DDC896">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F23AFA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14" w:type="dxa"/>
            <w:tcBorders>
              <w:top w:val="nil"/>
              <w:left w:val="nil"/>
              <w:bottom w:val="single" w:color="000000" w:sz="8" w:space="0"/>
              <w:right w:val="single" w:color="000000" w:sz="8" w:space="0"/>
            </w:tcBorders>
            <w:shd w:val="clear" w:color="auto" w:fill="auto"/>
            <w:vAlign w:val="center"/>
          </w:tcPr>
          <w:p w14:paraId="14CEB4C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落叶松</w:t>
            </w:r>
          </w:p>
        </w:tc>
        <w:tc>
          <w:tcPr>
            <w:tcW w:w="1416" w:type="dxa"/>
            <w:tcBorders>
              <w:top w:val="nil"/>
              <w:left w:val="nil"/>
              <w:bottom w:val="single" w:color="000000" w:sz="8" w:space="0"/>
              <w:right w:val="single" w:color="000000" w:sz="8" w:space="0"/>
            </w:tcBorders>
            <w:shd w:val="clear" w:color="auto" w:fill="auto"/>
            <w:vAlign w:val="center"/>
          </w:tcPr>
          <w:p w14:paraId="4C2ED50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株</w:t>
            </w:r>
          </w:p>
        </w:tc>
        <w:tc>
          <w:tcPr>
            <w:tcW w:w="1133" w:type="dxa"/>
            <w:tcBorders>
              <w:top w:val="nil"/>
              <w:left w:val="nil"/>
              <w:bottom w:val="single" w:color="000000" w:sz="8" w:space="0"/>
              <w:right w:val="single" w:color="000000" w:sz="8" w:space="0"/>
            </w:tcBorders>
            <w:shd w:val="clear" w:color="auto" w:fill="auto"/>
            <w:vAlign w:val="center"/>
          </w:tcPr>
          <w:p w14:paraId="71A8C8F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102</w:t>
            </w:r>
          </w:p>
        </w:tc>
        <w:tc>
          <w:tcPr>
            <w:tcW w:w="1276" w:type="dxa"/>
            <w:tcBorders>
              <w:top w:val="nil"/>
              <w:left w:val="nil"/>
              <w:bottom w:val="single" w:color="000000" w:sz="8" w:space="0"/>
              <w:right w:val="single" w:color="000000" w:sz="8" w:space="0"/>
            </w:tcBorders>
            <w:shd w:val="clear" w:color="auto" w:fill="auto"/>
            <w:vAlign w:val="center"/>
          </w:tcPr>
          <w:p w14:paraId="112E2F7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5.00 </w:t>
            </w:r>
          </w:p>
        </w:tc>
        <w:tc>
          <w:tcPr>
            <w:tcW w:w="1571" w:type="dxa"/>
            <w:tcBorders>
              <w:top w:val="nil"/>
              <w:left w:val="nil"/>
              <w:bottom w:val="single" w:color="000000" w:sz="8" w:space="0"/>
              <w:right w:val="single" w:color="000000" w:sz="12" w:space="0"/>
            </w:tcBorders>
            <w:shd w:val="clear" w:color="auto" w:fill="auto"/>
            <w:vAlign w:val="bottom"/>
          </w:tcPr>
          <w:p w14:paraId="25BE44C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510.00 </w:t>
            </w:r>
          </w:p>
        </w:tc>
      </w:tr>
      <w:tr w14:paraId="6172ABCF">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9E3112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514" w:type="dxa"/>
            <w:tcBorders>
              <w:top w:val="nil"/>
              <w:left w:val="nil"/>
              <w:bottom w:val="single" w:color="000000" w:sz="8" w:space="0"/>
              <w:right w:val="single" w:color="000000" w:sz="8" w:space="0"/>
            </w:tcBorders>
            <w:shd w:val="clear" w:color="auto" w:fill="auto"/>
            <w:vAlign w:val="center"/>
          </w:tcPr>
          <w:p w14:paraId="7F6435E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水</w:t>
            </w:r>
          </w:p>
        </w:tc>
        <w:tc>
          <w:tcPr>
            <w:tcW w:w="1416" w:type="dxa"/>
            <w:tcBorders>
              <w:top w:val="nil"/>
              <w:left w:val="nil"/>
              <w:bottom w:val="single" w:color="000000" w:sz="8" w:space="0"/>
              <w:right w:val="single" w:color="000000" w:sz="8" w:space="0"/>
            </w:tcBorders>
            <w:shd w:val="clear" w:color="auto" w:fill="auto"/>
            <w:vAlign w:val="center"/>
          </w:tcPr>
          <w:p w14:paraId="1F0B9390">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133" w:type="dxa"/>
            <w:tcBorders>
              <w:top w:val="nil"/>
              <w:left w:val="nil"/>
              <w:bottom w:val="single" w:color="000000" w:sz="8" w:space="0"/>
              <w:right w:val="single" w:color="000000" w:sz="8" w:space="0"/>
            </w:tcBorders>
            <w:shd w:val="clear" w:color="auto" w:fill="auto"/>
            <w:vAlign w:val="center"/>
          </w:tcPr>
          <w:p w14:paraId="62F1892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1276" w:type="dxa"/>
            <w:tcBorders>
              <w:top w:val="nil"/>
              <w:left w:val="nil"/>
              <w:bottom w:val="single" w:color="000000" w:sz="8" w:space="0"/>
              <w:right w:val="single" w:color="000000" w:sz="8" w:space="0"/>
            </w:tcBorders>
            <w:shd w:val="clear" w:color="auto" w:fill="auto"/>
            <w:vAlign w:val="center"/>
          </w:tcPr>
          <w:p w14:paraId="7029CD5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1.69 </w:t>
            </w:r>
          </w:p>
        </w:tc>
        <w:tc>
          <w:tcPr>
            <w:tcW w:w="1571" w:type="dxa"/>
            <w:tcBorders>
              <w:top w:val="nil"/>
              <w:left w:val="nil"/>
              <w:bottom w:val="single" w:color="000000" w:sz="8" w:space="0"/>
              <w:right w:val="single" w:color="000000" w:sz="12" w:space="0"/>
            </w:tcBorders>
            <w:shd w:val="clear" w:color="auto" w:fill="auto"/>
            <w:vAlign w:val="bottom"/>
          </w:tcPr>
          <w:p w14:paraId="01942FF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3.38 </w:t>
            </w:r>
          </w:p>
        </w:tc>
      </w:tr>
      <w:tr w14:paraId="27634088">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5E4D37C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514" w:type="dxa"/>
            <w:tcBorders>
              <w:top w:val="nil"/>
              <w:left w:val="nil"/>
              <w:bottom w:val="single" w:color="000000" w:sz="8" w:space="0"/>
              <w:right w:val="single" w:color="000000" w:sz="8" w:space="0"/>
            </w:tcBorders>
            <w:shd w:val="clear" w:color="auto" w:fill="auto"/>
            <w:vAlign w:val="center"/>
          </w:tcPr>
          <w:p w14:paraId="26E036E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其他材料费</w:t>
            </w:r>
          </w:p>
        </w:tc>
        <w:tc>
          <w:tcPr>
            <w:tcW w:w="1416" w:type="dxa"/>
            <w:tcBorders>
              <w:top w:val="nil"/>
              <w:left w:val="nil"/>
              <w:bottom w:val="single" w:color="000000" w:sz="8" w:space="0"/>
              <w:right w:val="single" w:color="000000" w:sz="8" w:space="0"/>
            </w:tcBorders>
            <w:shd w:val="clear" w:color="auto" w:fill="auto"/>
            <w:vAlign w:val="center"/>
          </w:tcPr>
          <w:p w14:paraId="57E6C0D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27FA244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0.5</w:t>
            </w:r>
          </w:p>
        </w:tc>
        <w:tc>
          <w:tcPr>
            <w:tcW w:w="1276" w:type="dxa"/>
            <w:tcBorders>
              <w:top w:val="nil"/>
              <w:left w:val="nil"/>
              <w:bottom w:val="single" w:color="000000" w:sz="8" w:space="0"/>
              <w:right w:val="single" w:color="000000" w:sz="8" w:space="0"/>
            </w:tcBorders>
            <w:shd w:val="clear" w:color="auto" w:fill="auto"/>
            <w:vAlign w:val="center"/>
          </w:tcPr>
          <w:p w14:paraId="5853FDB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513.38 </w:t>
            </w:r>
          </w:p>
        </w:tc>
        <w:tc>
          <w:tcPr>
            <w:tcW w:w="1571" w:type="dxa"/>
            <w:tcBorders>
              <w:top w:val="nil"/>
              <w:left w:val="nil"/>
              <w:bottom w:val="single" w:color="000000" w:sz="8" w:space="0"/>
              <w:right w:val="single" w:color="000000" w:sz="12" w:space="0"/>
            </w:tcBorders>
            <w:shd w:val="clear" w:color="auto" w:fill="auto"/>
            <w:vAlign w:val="bottom"/>
          </w:tcPr>
          <w:p w14:paraId="55B3260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2.57 </w:t>
            </w:r>
          </w:p>
        </w:tc>
      </w:tr>
      <w:tr w14:paraId="772DFD40">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594D202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514" w:type="dxa"/>
            <w:tcBorders>
              <w:top w:val="nil"/>
              <w:left w:val="nil"/>
              <w:bottom w:val="single" w:color="000000" w:sz="8" w:space="0"/>
              <w:right w:val="single" w:color="000000" w:sz="8" w:space="0"/>
            </w:tcBorders>
            <w:shd w:val="clear" w:color="auto" w:fill="auto"/>
            <w:vAlign w:val="center"/>
          </w:tcPr>
          <w:p w14:paraId="4FC481A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机械费</w:t>
            </w:r>
          </w:p>
        </w:tc>
        <w:tc>
          <w:tcPr>
            <w:tcW w:w="1416" w:type="dxa"/>
            <w:tcBorders>
              <w:top w:val="nil"/>
              <w:left w:val="nil"/>
              <w:bottom w:val="single" w:color="000000" w:sz="8" w:space="0"/>
              <w:right w:val="single" w:color="000000" w:sz="8" w:space="0"/>
            </w:tcBorders>
            <w:shd w:val="clear" w:color="auto" w:fill="auto"/>
            <w:vAlign w:val="center"/>
          </w:tcPr>
          <w:p w14:paraId="54BB8B4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2B70FFF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454A0BC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5C409F1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5BE5AA14">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B8BB70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514" w:type="dxa"/>
            <w:tcBorders>
              <w:top w:val="nil"/>
              <w:left w:val="nil"/>
              <w:bottom w:val="single" w:color="000000" w:sz="8" w:space="0"/>
              <w:right w:val="single" w:color="000000" w:sz="8" w:space="0"/>
            </w:tcBorders>
            <w:shd w:val="clear" w:color="auto" w:fill="auto"/>
            <w:vAlign w:val="center"/>
          </w:tcPr>
          <w:p w14:paraId="7F81617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措施费</w:t>
            </w:r>
          </w:p>
        </w:tc>
        <w:tc>
          <w:tcPr>
            <w:tcW w:w="1416" w:type="dxa"/>
            <w:tcBorders>
              <w:top w:val="nil"/>
              <w:left w:val="nil"/>
              <w:bottom w:val="single" w:color="000000" w:sz="8" w:space="0"/>
              <w:right w:val="single" w:color="000000" w:sz="8" w:space="0"/>
            </w:tcBorders>
            <w:shd w:val="clear" w:color="auto" w:fill="auto"/>
            <w:vAlign w:val="center"/>
          </w:tcPr>
          <w:p w14:paraId="527AB43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72262DA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276" w:type="dxa"/>
            <w:tcBorders>
              <w:top w:val="nil"/>
              <w:left w:val="nil"/>
              <w:bottom w:val="single" w:color="000000" w:sz="8" w:space="0"/>
              <w:right w:val="single" w:color="000000" w:sz="8" w:space="0"/>
            </w:tcBorders>
            <w:shd w:val="clear" w:color="auto" w:fill="auto"/>
            <w:vAlign w:val="center"/>
          </w:tcPr>
          <w:p w14:paraId="0EB4B64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687.92 </w:t>
            </w:r>
          </w:p>
        </w:tc>
        <w:tc>
          <w:tcPr>
            <w:tcW w:w="1571" w:type="dxa"/>
            <w:tcBorders>
              <w:top w:val="nil"/>
              <w:left w:val="nil"/>
              <w:bottom w:val="single" w:color="000000" w:sz="8" w:space="0"/>
              <w:right w:val="single" w:color="000000" w:sz="12" w:space="0"/>
            </w:tcBorders>
            <w:shd w:val="clear" w:color="auto" w:fill="auto"/>
            <w:vAlign w:val="bottom"/>
          </w:tcPr>
          <w:p w14:paraId="1FC9BF4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34.40 </w:t>
            </w:r>
          </w:p>
        </w:tc>
      </w:tr>
      <w:tr w14:paraId="64BF651D">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1ADD4D6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w:t>
            </w:r>
          </w:p>
        </w:tc>
        <w:tc>
          <w:tcPr>
            <w:tcW w:w="2514" w:type="dxa"/>
            <w:tcBorders>
              <w:top w:val="nil"/>
              <w:left w:val="nil"/>
              <w:bottom w:val="single" w:color="000000" w:sz="8" w:space="0"/>
              <w:right w:val="single" w:color="000000" w:sz="8" w:space="0"/>
            </w:tcBorders>
            <w:shd w:val="clear" w:color="auto" w:fill="auto"/>
            <w:vAlign w:val="center"/>
          </w:tcPr>
          <w:p w14:paraId="6845C9E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间接费</w:t>
            </w:r>
          </w:p>
        </w:tc>
        <w:tc>
          <w:tcPr>
            <w:tcW w:w="1416" w:type="dxa"/>
            <w:tcBorders>
              <w:top w:val="nil"/>
              <w:left w:val="nil"/>
              <w:bottom w:val="single" w:color="000000" w:sz="8" w:space="0"/>
              <w:right w:val="single" w:color="000000" w:sz="8" w:space="0"/>
            </w:tcBorders>
            <w:shd w:val="clear" w:color="auto" w:fill="auto"/>
            <w:vAlign w:val="center"/>
          </w:tcPr>
          <w:p w14:paraId="014018F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4F33812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1276" w:type="dxa"/>
            <w:tcBorders>
              <w:top w:val="nil"/>
              <w:left w:val="nil"/>
              <w:bottom w:val="single" w:color="000000" w:sz="8" w:space="0"/>
              <w:right w:val="single" w:color="000000" w:sz="8" w:space="0"/>
            </w:tcBorders>
            <w:shd w:val="clear" w:color="auto" w:fill="auto"/>
            <w:vAlign w:val="center"/>
          </w:tcPr>
          <w:p w14:paraId="705DE2F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722.31 </w:t>
            </w:r>
          </w:p>
        </w:tc>
        <w:tc>
          <w:tcPr>
            <w:tcW w:w="1571" w:type="dxa"/>
            <w:tcBorders>
              <w:top w:val="nil"/>
              <w:left w:val="nil"/>
              <w:bottom w:val="single" w:color="000000" w:sz="8" w:space="0"/>
              <w:right w:val="single" w:color="000000" w:sz="12" w:space="0"/>
            </w:tcBorders>
            <w:shd w:val="clear" w:color="auto" w:fill="auto"/>
            <w:vAlign w:val="bottom"/>
          </w:tcPr>
          <w:p w14:paraId="0C355FC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36.12 </w:t>
            </w:r>
          </w:p>
        </w:tc>
      </w:tr>
      <w:tr w14:paraId="745609D0">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43216B6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三</w:t>
            </w:r>
          </w:p>
        </w:tc>
        <w:tc>
          <w:tcPr>
            <w:tcW w:w="2514" w:type="dxa"/>
            <w:tcBorders>
              <w:top w:val="nil"/>
              <w:left w:val="nil"/>
              <w:bottom w:val="single" w:color="000000" w:sz="8" w:space="0"/>
              <w:right w:val="single" w:color="000000" w:sz="8" w:space="0"/>
            </w:tcBorders>
            <w:shd w:val="clear" w:color="auto" w:fill="auto"/>
            <w:vAlign w:val="center"/>
          </w:tcPr>
          <w:p w14:paraId="7AF148D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利润</w:t>
            </w:r>
          </w:p>
        </w:tc>
        <w:tc>
          <w:tcPr>
            <w:tcW w:w="1416" w:type="dxa"/>
            <w:tcBorders>
              <w:top w:val="nil"/>
              <w:left w:val="nil"/>
              <w:bottom w:val="single" w:color="000000" w:sz="8" w:space="0"/>
              <w:right w:val="single" w:color="000000" w:sz="8" w:space="0"/>
            </w:tcBorders>
            <w:shd w:val="clear" w:color="auto" w:fill="auto"/>
            <w:vAlign w:val="center"/>
          </w:tcPr>
          <w:p w14:paraId="7FEC6CD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017F96E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w:t>
            </w:r>
          </w:p>
        </w:tc>
        <w:tc>
          <w:tcPr>
            <w:tcW w:w="1276" w:type="dxa"/>
            <w:tcBorders>
              <w:top w:val="nil"/>
              <w:left w:val="nil"/>
              <w:bottom w:val="single" w:color="000000" w:sz="8" w:space="0"/>
              <w:right w:val="single" w:color="000000" w:sz="8" w:space="0"/>
            </w:tcBorders>
            <w:shd w:val="clear" w:color="auto" w:fill="auto"/>
            <w:vAlign w:val="center"/>
          </w:tcPr>
          <w:p w14:paraId="581F0E2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758.43 </w:t>
            </w:r>
          </w:p>
        </w:tc>
        <w:tc>
          <w:tcPr>
            <w:tcW w:w="1571" w:type="dxa"/>
            <w:tcBorders>
              <w:top w:val="nil"/>
              <w:left w:val="nil"/>
              <w:bottom w:val="single" w:color="000000" w:sz="8" w:space="0"/>
              <w:right w:val="single" w:color="000000" w:sz="12" w:space="0"/>
            </w:tcBorders>
            <w:shd w:val="clear" w:color="auto" w:fill="auto"/>
            <w:vAlign w:val="bottom"/>
          </w:tcPr>
          <w:p w14:paraId="118CB7B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53.09 </w:t>
            </w:r>
          </w:p>
        </w:tc>
      </w:tr>
      <w:tr w14:paraId="68A195A4">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3832AF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四</w:t>
            </w:r>
          </w:p>
        </w:tc>
        <w:tc>
          <w:tcPr>
            <w:tcW w:w="2514" w:type="dxa"/>
            <w:tcBorders>
              <w:top w:val="nil"/>
              <w:left w:val="nil"/>
              <w:bottom w:val="single" w:color="000000" w:sz="8" w:space="0"/>
              <w:right w:val="single" w:color="000000" w:sz="8" w:space="0"/>
            </w:tcBorders>
            <w:shd w:val="clear" w:color="auto" w:fill="auto"/>
            <w:vAlign w:val="center"/>
          </w:tcPr>
          <w:p w14:paraId="272F689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材料价差</w:t>
            </w:r>
          </w:p>
        </w:tc>
        <w:tc>
          <w:tcPr>
            <w:tcW w:w="1416" w:type="dxa"/>
            <w:tcBorders>
              <w:top w:val="nil"/>
              <w:left w:val="nil"/>
              <w:bottom w:val="single" w:color="000000" w:sz="8" w:space="0"/>
              <w:right w:val="single" w:color="000000" w:sz="8" w:space="0"/>
            </w:tcBorders>
            <w:shd w:val="clear" w:color="auto" w:fill="auto"/>
            <w:vAlign w:val="center"/>
          </w:tcPr>
          <w:p w14:paraId="0AC0A59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0DDC586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60A0A51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792ABD3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625FFDB0">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00C3571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514" w:type="dxa"/>
            <w:tcBorders>
              <w:top w:val="nil"/>
              <w:left w:val="nil"/>
              <w:bottom w:val="single" w:color="000000" w:sz="8" w:space="0"/>
              <w:right w:val="single" w:color="000000" w:sz="8" w:space="0"/>
            </w:tcBorders>
            <w:shd w:val="clear" w:color="auto" w:fill="auto"/>
            <w:vAlign w:val="center"/>
          </w:tcPr>
          <w:p w14:paraId="636F906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落叶松</w:t>
            </w:r>
          </w:p>
        </w:tc>
        <w:tc>
          <w:tcPr>
            <w:tcW w:w="1416" w:type="dxa"/>
            <w:tcBorders>
              <w:top w:val="nil"/>
              <w:left w:val="nil"/>
              <w:bottom w:val="single" w:color="000000" w:sz="8" w:space="0"/>
              <w:right w:val="single" w:color="000000" w:sz="8" w:space="0"/>
            </w:tcBorders>
            <w:shd w:val="clear" w:color="auto" w:fill="auto"/>
            <w:vAlign w:val="center"/>
          </w:tcPr>
          <w:p w14:paraId="1FC27B2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株</w:t>
            </w:r>
          </w:p>
        </w:tc>
        <w:tc>
          <w:tcPr>
            <w:tcW w:w="1133" w:type="dxa"/>
            <w:tcBorders>
              <w:top w:val="nil"/>
              <w:left w:val="nil"/>
              <w:bottom w:val="single" w:color="000000" w:sz="8" w:space="0"/>
              <w:right w:val="single" w:color="000000" w:sz="8" w:space="0"/>
            </w:tcBorders>
            <w:shd w:val="clear" w:color="auto" w:fill="auto"/>
            <w:vAlign w:val="center"/>
          </w:tcPr>
          <w:p w14:paraId="2CA49F1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102</w:t>
            </w:r>
          </w:p>
        </w:tc>
        <w:tc>
          <w:tcPr>
            <w:tcW w:w="1276" w:type="dxa"/>
            <w:tcBorders>
              <w:top w:val="nil"/>
              <w:left w:val="nil"/>
              <w:bottom w:val="single" w:color="000000" w:sz="8" w:space="0"/>
              <w:right w:val="single" w:color="000000" w:sz="8" w:space="0"/>
            </w:tcBorders>
            <w:shd w:val="clear" w:color="auto" w:fill="auto"/>
            <w:vAlign w:val="center"/>
          </w:tcPr>
          <w:p w14:paraId="252BF71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2.00 </w:t>
            </w:r>
          </w:p>
        </w:tc>
        <w:tc>
          <w:tcPr>
            <w:tcW w:w="1571" w:type="dxa"/>
            <w:tcBorders>
              <w:top w:val="nil"/>
              <w:left w:val="nil"/>
              <w:bottom w:val="single" w:color="000000" w:sz="8" w:space="0"/>
              <w:right w:val="single" w:color="000000" w:sz="12" w:space="0"/>
            </w:tcBorders>
            <w:shd w:val="clear" w:color="auto" w:fill="auto"/>
            <w:vAlign w:val="bottom"/>
          </w:tcPr>
          <w:p w14:paraId="3344C6C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204.00 </w:t>
            </w:r>
          </w:p>
        </w:tc>
      </w:tr>
      <w:tr w14:paraId="0188D933">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04B7FBC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五</w:t>
            </w:r>
          </w:p>
        </w:tc>
        <w:tc>
          <w:tcPr>
            <w:tcW w:w="2514" w:type="dxa"/>
            <w:tcBorders>
              <w:top w:val="nil"/>
              <w:left w:val="nil"/>
              <w:bottom w:val="single" w:color="000000" w:sz="8" w:space="0"/>
              <w:right w:val="single" w:color="000000" w:sz="8" w:space="0"/>
            </w:tcBorders>
            <w:shd w:val="clear" w:color="auto" w:fill="auto"/>
            <w:vAlign w:val="center"/>
          </w:tcPr>
          <w:p w14:paraId="44F2938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未计价材料费</w:t>
            </w:r>
          </w:p>
        </w:tc>
        <w:tc>
          <w:tcPr>
            <w:tcW w:w="1416" w:type="dxa"/>
            <w:tcBorders>
              <w:top w:val="nil"/>
              <w:left w:val="nil"/>
              <w:bottom w:val="single" w:color="000000" w:sz="8" w:space="0"/>
              <w:right w:val="single" w:color="000000" w:sz="8" w:space="0"/>
            </w:tcBorders>
            <w:shd w:val="clear" w:color="auto" w:fill="auto"/>
            <w:vAlign w:val="center"/>
          </w:tcPr>
          <w:p w14:paraId="65A0E19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1D676A2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250DB88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480E21F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5E377917">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710EF41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六</w:t>
            </w:r>
          </w:p>
        </w:tc>
        <w:tc>
          <w:tcPr>
            <w:tcW w:w="2514" w:type="dxa"/>
            <w:tcBorders>
              <w:top w:val="nil"/>
              <w:left w:val="nil"/>
              <w:bottom w:val="single" w:color="000000" w:sz="8" w:space="0"/>
              <w:right w:val="single" w:color="000000" w:sz="8" w:space="0"/>
            </w:tcBorders>
            <w:shd w:val="clear" w:color="auto" w:fill="auto"/>
            <w:vAlign w:val="center"/>
          </w:tcPr>
          <w:p w14:paraId="2A9D510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税金</w:t>
            </w:r>
          </w:p>
        </w:tc>
        <w:tc>
          <w:tcPr>
            <w:tcW w:w="1416" w:type="dxa"/>
            <w:tcBorders>
              <w:top w:val="nil"/>
              <w:left w:val="nil"/>
              <w:bottom w:val="single" w:color="000000" w:sz="8" w:space="0"/>
              <w:right w:val="single" w:color="000000" w:sz="8" w:space="0"/>
            </w:tcBorders>
            <w:shd w:val="clear" w:color="auto" w:fill="auto"/>
            <w:vAlign w:val="center"/>
          </w:tcPr>
          <w:p w14:paraId="72284D5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0D21952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w:t>
            </w:r>
          </w:p>
        </w:tc>
        <w:tc>
          <w:tcPr>
            <w:tcW w:w="1276" w:type="dxa"/>
            <w:tcBorders>
              <w:top w:val="nil"/>
              <w:left w:val="nil"/>
              <w:bottom w:val="single" w:color="000000" w:sz="8" w:space="0"/>
              <w:right w:val="single" w:color="000000" w:sz="8" w:space="0"/>
            </w:tcBorders>
            <w:shd w:val="clear" w:color="auto" w:fill="auto"/>
            <w:vAlign w:val="center"/>
          </w:tcPr>
          <w:p w14:paraId="74D4C84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1015.52 </w:t>
            </w:r>
          </w:p>
        </w:tc>
        <w:tc>
          <w:tcPr>
            <w:tcW w:w="1571" w:type="dxa"/>
            <w:tcBorders>
              <w:top w:val="nil"/>
              <w:left w:val="nil"/>
              <w:bottom w:val="single" w:color="000000" w:sz="8" w:space="0"/>
              <w:right w:val="single" w:color="000000" w:sz="12" w:space="0"/>
            </w:tcBorders>
            <w:shd w:val="clear" w:color="auto" w:fill="auto"/>
            <w:vAlign w:val="bottom"/>
          </w:tcPr>
          <w:p w14:paraId="4BD2695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91.40 </w:t>
            </w:r>
          </w:p>
        </w:tc>
      </w:tr>
      <w:tr w14:paraId="316CBA82">
        <w:tblPrEx>
          <w:tblCellMar>
            <w:top w:w="11" w:type="dxa"/>
            <w:left w:w="11" w:type="dxa"/>
            <w:bottom w:w="11" w:type="dxa"/>
            <w:right w:w="11" w:type="dxa"/>
          </w:tblCellMar>
        </w:tblPrEx>
        <w:trPr>
          <w:trHeight w:val="20" w:hRule="atLeast"/>
        </w:trPr>
        <w:tc>
          <w:tcPr>
            <w:tcW w:w="1190" w:type="dxa"/>
            <w:tcBorders>
              <w:top w:val="single" w:color="000000" w:sz="8" w:space="0"/>
              <w:left w:val="single" w:color="000000" w:sz="12" w:space="0"/>
              <w:bottom w:val="single" w:color="000000" w:sz="12" w:space="0"/>
              <w:right w:val="single" w:color="000000" w:sz="4" w:space="0"/>
            </w:tcBorders>
            <w:shd w:val="clear" w:color="auto" w:fill="auto"/>
            <w:vAlign w:val="center"/>
          </w:tcPr>
          <w:p w14:paraId="76FC3C36">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2514" w:type="dxa"/>
            <w:tcBorders>
              <w:top w:val="single" w:color="000000" w:sz="8" w:space="0"/>
              <w:left w:val="single" w:color="000000" w:sz="4" w:space="0"/>
              <w:bottom w:val="single" w:color="000000" w:sz="12" w:space="0"/>
              <w:right w:val="single" w:color="000000" w:sz="8" w:space="0"/>
            </w:tcBorders>
            <w:shd w:val="clear" w:color="auto" w:fill="auto"/>
            <w:vAlign w:val="center"/>
          </w:tcPr>
          <w:p w14:paraId="082B87C3">
            <w:pPr>
              <w:topLinePunct/>
              <w:snapToGrid w:val="0"/>
              <w:spacing w:line="240" w:lineRule="auto"/>
              <w:jc w:val="center"/>
              <w:rPr>
                <w:rFonts w:ascii="Times New Roman" w:hAnsi="Times New Roman" w:cs="Times New Roman"/>
                <w:color w:val="000000" w:themeColor="text1"/>
                <w:kern w:val="0"/>
                <w:sz w:val="24"/>
                <w:szCs w:val="24"/>
              </w:rPr>
            </w:pPr>
          </w:p>
        </w:tc>
        <w:tc>
          <w:tcPr>
            <w:tcW w:w="1416" w:type="dxa"/>
            <w:tcBorders>
              <w:top w:val="nil"/>
              <w:left w:val="nil"/>
              <w:bottom w:val="single" w:color="000000" w:sz="12" w:space="0"/>
              <w:right w:val="single" w:color="000000" w:sz="8" w:space="0"/>
            </w:tcBorders>
            <w:shd w:val="clear" w:color="auto" w:fill="auto"/>
            <w:vAlign w:val="center"/>
          </w:tcPr>
          <w:p w14:paraId="0E3C752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133" w:type="dxa"/>
            <w:tcBorders>
              <w:top w:val="nil"/>
              <w:left w:val="nil"/>
              <w:bottom w:val="single" w:color="000000" w:sz="12" w:space="0"/>
              <w:right w:val="single" w:color="000000" w:sz="8" w:space="0"/>
            </w:tcBorders>
            <w:shd w:val="clear" w:color="auto" w:fill="auto"/>
            <w:vAlign w:val="center"/>
          </w:tcPr>
          <w:p w14:paraId="4524745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tcBorders>
              <w:top w:val="nil"/>
              <w:left w:val="nil"/>
              <w:bottom w:val="single" w:color="000000" w:sz="12" w:space="0"/>
              <w:right w:val="single" w:color="000000" w:sz="8" w:space="0"/>
            </w:tcBorders>
            <w:shd w:val="clear" w:color="auto" w:fill="auto"/>
            <w:vAlign w:val="center"/>
          </w:tcPr>
          <w:p w14:paraId="2F730DF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1" w:type="dxa"/>
            <w:tcBorders>
              <w:top w:val="nil"/>
              <w:left w:val="nil"/>
              <w:bottom w:val="single" w:color="000000" w:sz="12" w:space="0"/>
              <w:right w:val="single" w:color="000000" w:sz="12" w:space="0"/>
            </w:tcBorders>
            <w:shd w:val="clear" w:color="auto" w:fill="auto"/>
            <w:vAlign w:val="center"/>
          </w:tcPr>
          <w:p w14:paraId="2AECDD03">
            <w:pPr>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1106.91</w:t>
            </w:r>
          </w:p>
        </w:tc>
      </w:tr>
    </w:tbl>
    <w:p w14:paraId="688FBE67">
      <w:pPr>
        <w:tabs>
          <w:tab w:val="left" w:pos="3403"/>
        </w:tabs>
        <w:spacing w:before="28"/>
        <w:ind w:left="2" w:right="44"/>
        <w:jc w:val="center"/>
        <w:rPr>
          <w:rFonts w:ascii="Times New Roman" w:hAnsi="Times New Roman" w:cs="Times New Roman"/>
          <w:b/>
          <w:color w:val="000000" w:themeColor="text1"/>
          <w:sz w:val="24"/>
          <w:szCs w:val="24"/>
        </w:rPr>
      </w:pPr>
    </w:p>
    <w:p w14:paraId="66588123">
      <w:pPr>
        <w:tabs>
          <w:tab w:val="left" w:pos="3403"/>
        </w:tabs>
        <w:spacing w:before="28"/>
        <w:ind w:left="2" w:right="44"/>
        <w:jc w:val="center"/>
        <w:rPr>
          <w:rFonts w:ascii="Times New Roman" w:hAnsi="Times New Roman" w:cs="Times New Roman"/>
          <w:b/>
          <w:color w:val="000000" w:themeColor="text1"/>
          <w:sz w:val="24"/>
          <w:szCs w:val="24"/>
        </w:rPr>
      </w:pPr>
    </w:p>
    <w:p w14:paraId="6A55383C">
      <w:pPr>
        <w:tabs>
          <w:tab w:val="left" w:pos="3403"/>
        </w:tabs>
        <w:spacing w:before="28"/>
        <w:ind w:left="2" w:right="44"/>
        <w:jc w:val="center"/>
        <w:rPr>
          <w:rFonts w:ascii="Times New Roman" w:hAnsi="Times New Roman" w:cs="Times New Roman"/>
          <w:b/>
          <w:color w:val="000000" w:themeColor="text1"/>
          <w:sz w:val="24"/>
          <w:szCs w:val="24"/>
        </w:rPr>
      </w:pPr>
    </w:p>
    <w:p w14:paraId="335A0352">
      <w:pPr>
        <w:tabs>
          <w:tab w:val="left" w:pos="3403"/>
        </w:tabs>
        <w:spacing w:before="28"/>
        <w:ind w:left="2" w:right="44"/>
        <w:jc w:val="center"/>
        <w:rPr>
          <w:rFonts w:ascii="Times New Roman" w:hAnsi="Times New Roman" w:cs="Times New Roman"/>
          <w:b/>
          <w:color w:val="000000" w:themeColor="text1"/>
          <w:sz w:val="24"/>
          <w:szCs w:val="24"/>
        </w:rPr>
      </w:pPr>
    </w:p>
    <w:p w14:paraId="42D0689C">
      <w:pPr>
        <w:tabs>
          <w:tab w:val="left" w:pos="3403"/>
        </w:tabs>
        <w:spacing w:before="28"/>
        <w:ind w:left="2" w:right="44"/>
        <w:jc w:val="center"/>
        <w:rPr>
          <w:rFonts w:ascii="Times New Roman" w:hAnsi="Times New Roman" w:cs="Times New Roman"/>
          <w:b/>
          <w:color w:val="000000" w:themeColor="text1"/>
          <w:sz w:val="24"/>
          <w:szCs w:val="24"/>
        </w:rPr>
      </w:pPr>
    </w:p>
    <w:p w14:paraId="652890CA">
      <w:pPr>
        <w:tabs>
          <w:tab w:val="left" w:pos="3403"/>
        </w:tabs>
        <w:spacing w:before="28"/>
        <w:ind w:left="2" w:right="44"/>
        <w:jc w:val="center"/>
        <w:rPr>
          <w:rFonts w:ascii="Times New Roman" w:hAnsi="Times New Roman" w:cs="Times New Roman"/>
          <w:b/>
          <w:color w:val="000000" w:themeColor="text1"/>
          <w:sz w:val="24"/>
          <w:szCs w:val="24"/>
        </w:rPr>
      </w:pPr>
    </w:p>
    <w:p w14:paraId="5EA22E38">
      <w:pPr>
        <w:tabs>
          <w:tab w:val="left" w:pos="3403"/>
        </w:tabs>
        <w:spacing w:before="28"/>
        <w:ind w:left="2" w:right="44"/>
        <w:jc w:val="center"/>
        <w:rPr>
          <w:rFonts w:ascii="Times New Roman" w:hAnsi="Times New Roman" w:cs="Times New Roman"/>
          <w:b/>
          <w:color w:val="000000" w:themeColor="text1"/>
          <w:sz w:val="24"/>
          <w:szCs w:val="24"/>
        </w:rPr>
      </w:pPr>
    </w:p>
    <w:p w14:paraId="5C9B758F">
      <w:pPr>
        <w:tabs>
          <w:tab w:val="left" w:pos="3403"/>
        </w:tabs>
        <w:spacing w:before="28"/>
        <w:ind w:left="2" w:right="44"/>
        <w:jc w:val="center"/>
        <w:rPr>
          <w:rFonts w:ascii="Times New Roman" w:hAnsi="Times New Roman" w:cs="Times New Roman"/>
          <w:b/>
          <w:color w:val="000000" w:themeColor="text1"/>
          <w:sz w:val="24"/>
          <w:szCs w:val="24"/>
        </w:rPr>
      </w:pPr>
    </w:p>
    <w:p w14:paraId="45F20369">
      <w:pPr>
        <w:tabs>
          <w:tab w:val="left" w:pos="3403"/>
        </w:tabs>
        <w:spacing w:before="28"/>
        <w:ind w:left="2" w:right="44"/>
        <w:jc w:val="center"/>
        <w:rPr>
          <w:rFonts w:ascii="Times New Roman" w:hAnsi="Times New Roman" w:cs="Times New Roman"/>
          <w:b/>
          <w:color w:val="000000" w:themeColor="text1"/>
          <w:sz w:val="24"/>
          <w:szCs w:val="24"/>
        </w:rPr>
      </w:pPr>
    </w:p>
    <w:p w14:paraId="7C8C9D1B">
      <w:pPr>
        <w:tabs>
          <w:tab w:val="left" w:pos="3403"/>
        </w:tabs>
        <w:spacing w:before="28"/>
        <w:ind w:left="2" w:right="44"/>
        <w:jc w:val="center"/>
        <w:rPr>
          <w:rFonts w:ascii="Times New Roman" w:hAnsi="Times New Roman" w:cs="Times New Roman"/>
          <w:b/>
          <w:color w:val="000000" w:themeColor="text1"/>
          <w:sz w:val="24"/>
          <w:szCs w:val="24"/>
        </w:rPr>
      </w:pPr>
    </w:p>
    <w:p w14:paraId="482FBF8D">
      <w:pPr>
        <w:tabs>
          <w:tab w:val="left" w:pos="3403"/>
        </w:tabs>
        <w:spacing w:before="28"/>
        <w:ind w:left="2" w:right="44"/>
        <w:jc w:val="center"/>
        <w:rPr>
          <w:rFonts w:ascii="Times New Roman" w:hAnsi="Times New Roman" w:cs="Times New Roman"/>
          <w:b/>
          <w:color w:val="000000" w:themeColor="text1"/>
          <w:sz w:val="24"/>
          <w:szCs w:val="24"/>
        </w:rPr>
      </w:pPr>
    </w:p>
    <w:p w14:paraId="17B72778">
      <w:pPr>
        <w:tabs>
          <w:tab w:val="left" w:pos="3403"/>
        </w:tabs>
        <w:spacing w:before="28"/>
        <w:ind w:left="2" w:right="44"/>
        <w:jc w:val="center"/>
        <w:rPr>
          <w:rFonts w:ascii="Times New Roman" w:hAnsi="Times New Roman" w:cs="Times New Roman"/>
          <w:b/>
          <w:color w:val="000000" w:themeColor="text1"/>
          <w:sz w:val="24"/>
          <w:szCs w:val="24"/>
        </w:rPr>
      </w:pPr>
    </w:p>
    <w:p w14:paraId="2B872C5D">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w:t>
      </w:r>
      <w:r>
        <w:rPr>
          <w:rFonts w:hint="eastAsia" w:ascii="Times New Roman" w:hAnsi="Times New Roman" w:cs="Times New Roman"/>
          <w:b/>
          <w:color w:val="000000" w:themeColor="text1"/>
          <w:sz w:val="24"/>
          <w:szCs w:val="24"/>
        </w:rPr>
        <w:t>19</w:t>
      </w:r>
      <w:r>
        <w:rPr>
          <w:rFonts w:ascii="Times New Roman" w:hAnsi="Times New Roman" w:cs="Times New Roman"/>
          <w:b/>
          <w:color w:val="000000" w:themeColor="text1"/>
          <w:sz w:val="24"/>
          <w:szCs w:val="24"/>
        </w:rPr>
        <w:t xml:space="preserve"> 撒播种草</w:t>
      </w:r>
    </w:p>
    <w:p w14:paraId="2783BF8E">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定额编号：9-030                                                 定额单位：h</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2</w:t>
      </w:r>
    </w:p>
    <w:p w14:paraId="32176B4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工作内容： 种子处理、人工撒播草籽、不覆土。                    金额单位：元</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149"/>
        <w:gridCol w:w="2552"/>
        <w:gridCol w:w="1417"/>
        <w:gridCol w:w="1134"/>
        <w:gridCol w:w="1276"/>
        <w:gridCol w:w="1572"/>
      </w:tblGrid>
      <w:tr w14:paraId="40F4EF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CD20DA5">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 xml:space="preserve"> 编号 </w:t>
            </w:r>
          </w:p>
        </w:tc>
        <w:tc>
          <w:tcPr>
            <w:tcW w:w="2552" w:type="dxa"/>
            <w:vAlign w:val="center"/>
          </w:tcPr>
          <w:p w14:paraId="6909B817">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 xml:space="preserve"> 项目名称 </w:t>
            </w:r>
          </w:p>
        </w:tc>
        <w:tc>
          <w:tcPr>
            <w:tcW w:w="1417" w:type="dxa"/>
            <w:vAlign w:val="center"/>
          </w:tcPr>
          <w:p w14:paraId="3CFC2643">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 xml:space="preserve"> 单位 </w:t>
            </w:r>
          </w:p>
        </w:tc>
        <w:tc>
          <w:tcPr>
            <w:tcW w:w="1134" w:type="dxa"/>
            <w:vAlign w:val="center"/>
          </w:tcPr>
          <w:p w14:paraId="37536AA6">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 xml:space="preserve"> 数量 </w:t>
            </w:r>
          </w:p>
        </w:tc>
        <w:tc>
          <w:tcPr>
            <w:tcW w:w="1276" w:type="dxa"/>
            <w:vAlign w:val="center"/>
          </w:tcPr>
          <w:p w14:paraId="1925997C">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 xml:space="preserve"> 单价 </w:t>
            </w:r>
          </w:p>
        </w:tc>
        <w:tc>
          <w:tcPr>
            <w:tcW w:w="1572" w:type="dxa"/>
            <w:vAlign w:val="center"/>
          </w:tcPr>
          <w:p w14:paraId="4AC2E3BB">
            <w:pPr>
              <w:widowControl/>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 xml:space="preserve"> 小计 </w:t>
            </w:r>
          </w:p>
        </w:tc>
      </w:tr>
      <w:tr w14:paraId="633B67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688995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一 </w:t>
            </w:r>
          </w:p>
        </w:tc>
        <w:tc>
          <w:tcPr>
            <w:tcW w:w="2552" w:type="dxa"/>
            <w:vAlign w:val="center"/>
          </w:tcPr>
          <w:p w14:paraId="3844219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直接费 </w:t>
            </w:r>
          </w:p>
        </w:tc>
        <w:tc>
          <w:tcPr>
            <w:tcW w:w="1417" w:type="dxa"/>
            <w:vAlign w:val="center"/>
          </w:tcPr>
          <w:p w14:paraId="0AABF6D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1CE6C8A3">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6C42D2F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vAlign w:val="center"/>
          </w:tcPr>
          <w:p w14:paraId="27CAB09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2995.28 </w:t>
            </w:r>
          </w:p>
        </w:tc>
      </w:tr>
      <w:tr w14:paraId="6E1F01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7D5DC30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（一） </w:t>
            </w:r>
          </w:p>
        </w:tc>
        <w:tc>
          <w:tcPr>
            <w:tcW w:w="2552" w:type="dxa"/>
            <w:vAlign w:val="center"/>
          </w:tcPr>
          <w:p w14:paraId="59810B0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直接工程费 </w:t>
            </w:r>
          </w:p>
        </w:tc>
        <w:tc>
          <w:tcPr>
            <w:tcW w:w="1417" w:type="dxa"/>
            <w:vAlign w:val="center"/>
          </w:tcPr>
          <w:p w14:paraId="3CEE936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6D52E21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7BC9A93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vAlign w:val="center"/>
          </w:tcPr>
          <w:p w14:paraId="3A3FE4A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2852.64 </w:t>
            </w:r>
          </w:p>
        </w:tc>
      </w:tr>
      <w:tr w14:paraId="49101C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0571AB3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1 </w:t>
            </w:r>
          </w:p>
        </w:tc>
        <w:tc>
          <w:tcPr>
            <w:tcW w:w="2552" w:type="dxa"/>
            <w:vAlign w:val="center"/>
          </w:tcPr>
          <w:p w14:paraId="25BCA05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人工费 </w:t>
            </w:r>
          </w:p>
        </w:tc>
        <w:tc>
          <w:tcPr>
            <w:tcW w:w="1417" w:type="dxa"/>
            <w:vAlign w:val="center"/>
          </w:tcPr>
          <w:p w14:paraId="4F33BE72">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02DF73C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58F922E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vAlign w:val="center"/>
          </w:tcPr>
          <w:p w14:paraId="1EC6DD5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94.56 </w:t>
            </w:r>
          </w:p>
        </w:tc>
      </w:tr>
      <w:tr w14:paraId="70F9ED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04ECA23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（1） </w:t>
            </w:r>
          </w:p>
        </w:tc>
        <w:tc>
          <w:tcPr>
            <w:tcW w:w="2552" w:type="dxa"/>
            <w:vAlign w:val="center"/>
          </w:tcPr>
          <w:p w14:paraId="6D34A8F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甲类工 </w:t>
            </w:r>
          </w:p>
        </w:tc>
        <w:tc>
          <w:tcPr>
            <w:tcW w:w="1417" w:type="dxa"/>
            <w:vAlign w:val="center"/>
          </w:tcPr>
          <w:p w14:paraId="1DE5A84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工日 </w:t>
            </w:r>
          </w:p>
        </w:tc>
        <w:tc>
          <w:tcPr>
            <w:tcW w:w="1134" w:type="dxa"/>
            <w:vAlign w:val="center"/>
          </w:tcPr>
          <w:p w14:paraId="2DB8E95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7CBBEA4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vAlign w:val="center"/>
          </w:tcPr>
          <w:p w14:paraId="18F4F82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r>
      <w:tr w14:paraId="7F587F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AC11DB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（2） </w:t>
            </w:r>
          </w:p>
        </w:tc>
        <w:tc>
          <w:tcPr>
            <w:tcW w:w="2552" w:type="dxa"/>
            <w:vAlign w:val="center"/>
          </w:tcPr>
          <w:p w14:paraId="6616CA4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乙类工 </w:t>
            </w:r>
          </w:p>
        </w:tc>
        <w:tc>
          <w:tcPr>
            <w:tcW w:w="1417" w:type="dxa"/>
            <w:vAlign w:val="center"/>
          </w:tcPr>
          <w:p w14:paraId="62CA8A1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工日 </w:t>
            </w:r>
          </w:p>
        </w:tc>
        <w:tc>
          <w:tcPr>
            <w:tcW w:w="1134" w:type="dxa"/>
          </w:tcPr>
          <w:p w14:paraId="395EA7E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2.10 </w:t>
            </w:r>
          </w:p>
        </w:tc>
        <w:tc>
          <w:tcPr>
            <w:tcW w:w="1276" w:type="dxa"/>
            <w:vAlign w:val="center"/>
          </w:tcPr>
          <w:p w14:paraId="2FA1C0B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45.03 </w:t>
            </w:r>
          </w:p>
        </w:tc>
        <w:tc>
          <w:tcPr>
            <w:tcW w:w="1572" w:type="dxa"/>
            <w:vAlign w:val="center"/>
          </w:tcPr>
          <w:p w14:paraId="50EB271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94.56 </w:t>
            </w:r>
          </w:p>
        </w:tc>
      </w:tr>
      <w:tr w14:paraId="370C16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3B84530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（3） </w:t>
            </w:r>
          </w:p>
        </w:tc>
        <w:tc>
          <w:tcPr>
            <w:tcW w:w="2552" w:type="dxa"/>
            <w:vAlign w:val="center"/>
          </w:tcPr>
          <w:p w14:paraId="14D4F2A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其他人工费</w:t>
            </w:r>
          </w:p>
        </w:tc>
        <w:tc>
          <w:tcPr>
            <w:tcW w:w="1417" w:type="dxa"/>
            <w:vAlign w:val="center"/>
          </w:tcPr>
          <w:p w14:paraId="735202B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w:t>
            </w:r>
          </w:p>
        </w:tc>
        <w:tc>
          <w:tcPr>
            <w:tcW w:w="1134" w:type="dxa"/>
          </w:tcPr>
          <w:p w14:paraId="1DB4D99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1CABF2A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vAlign w:val="center"/>
          </w:tcPr>
          <w:p w14:paraId="2BAB386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17C99DB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6066E93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2 </w:t>
            </w:r>
          </w:p>
        </w:tc>
        <w:tc>
          <w:tcPr>
            <w:tcW w:w="2552" w:type="dxa"/>
            <w:vAlign w:val="center"/>
          </w:tcPr>
          <w:p w14:paraId="480EBFE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材料费 </w:t>
            </w:r>
          </w:p>
        </w:tc>
        <w:tc>
          <w:tcPr>
            <w:tcW w:w="1417" w:type="dxa"/>
            <w:vAlign w:val="center"/>
          </w:tcPr>
          <w:p w14:paraId="5B49ABE7">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tcPr>
          <w:p w14:paraId="4B18AE6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276" w:type="dxa"/>
            <w:vAlign w:val="center"/>
          </w:tcPr>
          <w:p w14:paraId="252DAA9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vAlign w:val="center"/>
          </w:tcPr>
          <w:p w14:paraId="681FC68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2758.08 </w:t>
            </w:r>
          </w:p>
        </w:tc>
      </w:tr>
      <w:tr w14:paraId="170008B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CD6286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（1） </w:t>
            </w:r>
          </w:p>
        </w:tc>
        <w:tc>
          <w:tcPr>
            <w:tcW w:w="2552" w:type="dxa"/>
            <w:vAlign w:val="center"/>
          </w:tcPr>
          <w:p w14:paraId="40BDD9C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高羊茅草籽 </w:t>
            </w:r>
          </w:p>
        </w:tc>
        <w:tc>
          <w:tcPr>
            <w:tcW w:w="1417" w:type="dxa"/>
            <w:vAlign w:val="center"/>
          </w:tcPr>
          <w:p w14:paraId="7813E4C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kg </w:t>
            </w:r>
          </w:p>
        </w:tc>
        <w:tc>
          <w:tcPr>
            <w:tcW w:w="1134" w:type="dxa"/>
          </w:tcPr>
          <w:p w14:paraId="22F5F9F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80.00 </w:t>
            </w:r>
          </w:p>
        </w:tc>
        <w:tc>
          <w:tcPr>
            <w:tcW w:w="1276" w:type="dxa"/>
            <w:vAlign w:val="center"/>
          </w:tcPr>
          <w:p w14:paraId="7103EB1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33.80 </w:t>
            </w:r>
          </w:p>
        </w:tc>
        <w:tc>
          <w:tcPr>
            <w:tcW w:w="1572" w:type="dxa"/>
            <w:vAlign w:val="center"/>
          </w:tcPr>
          <w:p w14:paraId="190366C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2704.00 </w:t>
            </w:r>
          </w:p>
        </w:tc>
      </w:tr>
      <w:tr w14:paraId="37B9D2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87B6B6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（2） </w:t>
            </w:r>
          </w:p>
        </w:tc>
        <w:tc>
          <w:tcPr>
            <w:tcW w:w="2552" w:type="dxa"/>
            <w:vAlign w:val="center"/>
          </w:tcPr>
          <w:p w14:paraId="2E44143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其他材料费 </w:t>
            </w:r>
          </w:p>
        </w:tc>
        <w:tc>
          <w:tcPr>
            <w:tcW w:w="1417" w:type="dxa"/>
            <w:vAlign w:val="center"/>
          </w:tcPr>
          <w:p w14:paraId="68657C7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 </w:t>
            </w:r>
          </w:p>
        </w:tc>
        <w:tc>
          <w:tcPr>
            <w:tcW w:w="1134" w:type="dxa"/>
          </w:tcPr>
          <w:p w14:paraId="79D7381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2.00 </w:t>
            </w:r>
          </w:p>
        </w:tc>
        <w:tc>
          <w:tcPr>
            <w:tcW w:w="1276" w:type="dxa"/>
            <w:vAlign w:val="center"/>
          </w:tcPr>
          <w:p w14:paraId="43578A7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2704.00 </w:t>
            </w:r>
          </w:p>
        </w:tc>
        <w:tc>
          <w:tcPr>
            <w:tcW w:w="1572" w:type="dxa"/>
            <w:vAlign w:val="center"/>
          </w:tcPr>
          <w:p w14:paraId="3B27AB6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54.08 </w:t>
            </w:r>
          </w:p>
        </w:tc>
      </w:tr>
      <w:tr w14:paraId="3E4F62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EC536E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3 </w:t>
            </w:r>
          </w:p>
        </w:tc>
        <w:tc>
          <w:tcPr>
            <w:tcW w:w="2552" w:type="dxa"/>
            <w:vAlign w:val="center"/>
          </w:tcPr>
          <w:p w14:paraId="216A7AF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机械费 </w:t>
            </w:r>
          </w:p>
        </w:tc>
        <w:tc>
          <w:tcPr>
            <w:tcW w:w="1417" w:type="dxa"/>
            <w:vAlign w:val="center"/>
          </w:tcPr>
          <w:p w14:paraId="00665F6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7F5FB82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4020D1D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vAlign w:val="center"/>
          </w:tcPr>
          <w:p w14:paraId="5081C7C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707531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C5F0BD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（二） </w:t>
            </w:r>
          </w:p>
        </w:tc>
        <w:tc>
          <w:tcPr>
            <w:tcW w:w="2552" w:type="dxa"/>
            <w:vAlign w:val="center"/>
          </w:tcPr>
          <w:p w14:paraId="495973E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措施费 </w:t>
            </w:r>
          </w:p>
        </w:tc>
        <w:tc>
          <w:tcPr>
            <w:tcW w:w="1417" w:type="dxa"/>
            <w:vAlign w:val="center"/>
          </w:tcPr>
          <w:p w14:paraId="1CDF90E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 </w:t>
            </w:r>
          </w:p>
        </w:tc>
        <w:tc>
          <w:tcPr>
            <w:tcW w:w="1134" w:type="dxa"/>
          </w:tcPr>
          <w:p w14:paraId="3733B4C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5.00 </w:t>
            </w:r>
          </w:p>
        </w:tc>
        <w:tc>
          <w:tcPr>
            <w:tcW w:w="1276" w:type="dxa"/>
            <w:vAlign w:val="center"/>
          </w:tcPr>
          <w:p w14:paraId="13768A1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2852.64 </w:t>
            </w:r>
          </w:p>
        </w:tc>
        <w:tc>
          <w:tcPr>
            <w:tcW w:w="1572" w:type="dxa"/>
            <w:vAlign w:val="center"/>
          </w:tcPr>
          <w:p w14:paraId="63D3DB6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142.63 </w:t>
            </w:r>
          </w:p>
        </w:tc>
      </w:tr>
      <w:tr w14:paraId="2EA26B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7B002E7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二 </w:t>
            </w:r>
          </w:p>
        </w:tc>
        <w:tc>
          <w:tcPr>
            <w:tcW w:w="2552" w:type="dxa"/>
            <w:vAlign w:val="center"/>
          </w:tcPr>
          <w:p w14:paraId="7798FE1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间接费 </w:t>
            </w:r>
          </w:p>
        </w:tc>
        <w:tc>
          <w:tcPr>
            <w:tcW w:w="1417" w:type="dxa"/>
            <w:vAlign w:val="center"/>
          </w:tcPr>
          <w:p w14:paraId="21BD427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 </w:t>
            </w:r>
          </w:p>
        </w:tc>
        <w:tc>
          <w:tcPr>
            <w:tcW w:w="1134" w:type="dxa"/>
          </w:tcPr>
          <w:p w14:paraId="5E1FE1D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5.00 </w:t>
            </w:r>
          </w:p>
        </w:tc>
        <w:tc>
          <w:tcPr>
            <w:tcW w:w="1276" w:type="dxa"/>
            <w:vAlign w:val="center"/>
          </w:tcPr>
          <w:p w14:paraId="0379C6D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2995.28 </w:t>
            </w:r>
          </w:p>
        </w:tc>
        <w:tc>
          <w:tcPr>
            <w:tcW w:w="1572" w:type="dxa"/>
            <w:vAlign w:val="center"/>
          </w:tcPr>
          <w:p w14:paraId="5FE53E7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149.76 </w:t>
            </w:r>
          </w:p>
        </w:tc>
      </w:tr>
      <w:tr w14:paraId="673C69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EFB08B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三 </w:t>
            </w:r>
          </w:p>
        </w:tc>
        <w:tc>
          <w:tcPr>
            <w:tcW w:w="2552" w:type="dxa"/>
            <w:vAlign w:val="center"/>
          </w:tcPr>
          <w:p w14:paraId="4D526D5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利润 </w:t>
            </w:r>
          </w:p>
        </w:tc>
        <w:tc>
          <w:tcPr>
            <w:tcW w:w="1417" w:type="dxa"/>
            <w:vAlign w:val="center"/>
          </w:tcPr>
          <w:p w14:paraId="3568760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 </w:t>
            </w:r>
          </w:p>
        </w:tc>
        <w:tc>
          <w:tcPr>
            <w:tcW w:w="1134" w:type="dxa"/>
          </w:tcPr>
          <w:p w14:paraId="1255259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7.00 </w:t>
            </w:r>
          </w:p>
        </w:tc>
        <w:tc>
          <w:tcPr>
            <w:tcW w:w="1276" w:type="dxa"/>
            <w:vAlign w:val="center"/>
          </w:tcPr>
          <w:p w14:paraId="2C77A52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3145.04 </w:t>
            </w:r>
          </w:p>
        </w:tc>
        <w:tc>
          <w:tcPr>
            <w:tcW w:w="1572" w:type="dxa"/>
            <w:vAlign w:val="center"/>
          </w:tcPr>
          <w:p w14:paraId="7926139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220.15 </w:t>
            </w:r>
          </w:p>
        </w:tc>
      </w:tr>
      <w:tr w14:paraId="602EE8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30389D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四 </w:t>
            </w:r>
          </w:p>
        </w:tc>
        <w:tc>
          <w:tcPr>
            <w:tcW w:w="2552" w:type="dxa"/>
            <w:vAlign w:val="center"/>
          </w:tcPr>
          <w:p w14:paraId="4E42903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材料价差 </w:t>
            </w:r>
          </w:p>
        </w:tc>
        <w:tc>
          <w:tcPr>
            <w:tcW w:w="1417" w:type="dxa"/>
            <w:vAlign w:val="center"/>
          </w:tcPr>
          <w:p w14:paraId="035AB0D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2AD6F1C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50E29D1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vAlign w:val="center"/>
          </w:tcPr>
          <w:p w14:paraId="396D9CB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42FD6B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69ED78D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五 </w:t>
            </w:r>
          </w:p>
        </w:tc>
        <w:tc>
          <w:tcPr>
            <w:tcW w:w="2552" w:type="dxa"/>
            <w:vAlign w:val="center"/>
          </w:tcPr>
          <w:p w14:paraId="694CBD9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未计价材料费 </w:t>
            </w:r>
          </w:p>
        </w:tc>
        <w:tc>
          <w:tcPr>
            <w:tcW w:w="1417" w:type="dxa"/>
            <w:vAlign w:val="center"/>
          </w:tcPr>
          <w:p w14:paraId="14B1CE49">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3AAA67FF">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4EE1224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vAlign w:val="center"/>
          </w:tcPr>
          <w:p w14:paraId="1C5D388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0.00 </w:t>
            </w:r>
          </w:p>
        </w:tc>
      </w:tr>
      <w:tr w14:paraId="598C5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39AE097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六 </w:t>
            </w:r>
          </w:p>
        </w:tc>
        <w:tc>
          <w:tcPr>
            <w:tcW w:w="2552" w:type="dxa"/>
            <w:vAlign w:val="center"/>
          </w:tcPr>
          <w:p w14:paraId="37F68004">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税金 </w:t>
            </w:r>
          </w:p>
        </w:tc>
        <w:tc>
          <w:tcPr>
            <w:tcW w:w="1417" w:type="dxa"/>
            <w:vAlign w:val="center"/>
          </w:tcPr>
          <w:p w14:paraId="7BCE623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 </w:t>
            </w:r>
          </w:p>
        </w:tc>
        <w:tc>
          <w:tcPr>
            <w:tcW w:w="1134" w:type="dxa"/>
            <w:vAlign w:val="center"/>
          </w:tcPr>
          <w:p w14:paraId="49269BD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9.00 </w:t>
            </w:r>
          </w:p>
        </w:tc>
        <w:tc>
          <w:tcPr>
            <w:tcW w:w="1276" w:type="dxa"/>
            <w:vAlign w:val="center"/>
          </w:tcPr>
          <w:p w14:paraId="0858D15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3365.19 </w:t>
            </w:r>
          </w:p>
        </w:tc>
        <w:tc>
          <w:tcPr>
            <w:tcW w:w="1572" w:type="dxa"/>
            <w:vAlign w:val="center"/>
          </w:tcPr>
          <w:p w14:paraId="7F5BCFE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302.87 </w:t>
            </w:r>
          </w:p>
        </w:tc>
      </w:tr>
      <w:tr w14:paraId="3462E2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39B199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 合计 </w:t>
            </w:r>
          </w:p>
        </w:tc>
        <w:tc>
          <w:tcPr>
            <w:tcW w:w="2552" w:type="dxa"/>
            <w:vAlign w:val="center"/>
          </w:tcPr>
          <w:p w14:paraId="00750B5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417" w:type="dxa"/>
            <w:vAlign w:val="center"/>
          </w:tcPr>
          <w:p w14:paraId="1C5D29A6">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134" w:type="dxa"/>
            <w:vAlign w:val="center"/>
          </w:tcPr>
          <w:p w14:paraId="7D51D84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276" w:type="dxa"/>
            <w:vAlign w:val="center"/>
          </w:tcPr>
          <w:p w14:paraId="78D80DF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1572" w:type="dxa"/>
            <w:vAlign w:val="center"/>
          </w:tcPr>
          <w:p w14:paraId="2212BEDE">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3668.06 </w:t>
            </w:r>
          </w:p>
        </w:tc>
      </w:tr>
    </w:tbl>
    <w:p w14:paraId="3A5B44AF">
      <w:pPr>
        <w:tabs>
          <w:tab w:val="left" w:pos="3403"/>
        </w:tabs>
        <w:spacing w:before="28"/>
        <w:ind w:left="2" w:right="44"/>
        <w:jc w:val="center"/>
        <w:rPr>
          <w:rFonts w:hint="default" w:ascii="Times New Roman" w:hAnsi="Times New Roman" w:cs="Times New Roman"/>
          <w:b/>
          <w:sz w:val="24"/>
          <w:szCs w:val="24"/>
        </w:rPr>
      </w:pPr>
    </w:p>
    <w:p w14:paraId="1A9B9E29">
      <w:pPr>
        <w:tabs>
          <w:tab w:val="left" w:pos="3403"/>
        </w:tabs>
        <w:spacing w:before="28"/>
        <w:ind w:left="2" w:right="44"/>
        <w:jc w:val="center"/>
        <w:rPr>
          <w:rFonts w:hint="default" w:ascii="Times New Roman" w:hAnsi="Times New Roman" w:cs="Times New Roman"/>
          <w:b/>
          <w:sz w:val="24"/>
          <w:szCs w:val="24"/>
        </w:rPr>
      </w:pPr>
    </w:p>
    <w:p w14:paraId="1C96C495">
      <w:pPr>
        <w:tabs>
          <w:tab w:val="left" w:pos="3403"/>
        </w:tabs>
        <w:spacing w:before="28"/>
        <w:ind w:left="2" w:right="44"/>
        <w:jc w:val="center"/>
        <w:rPr>
          <w:rFonts w:hint="default" w:ascii="Times New Roman" w:hAnsi="Times New Roman" w:cs="Times New Roman"/>
          <w:b/>
          <w:sz w:val="24"/>
          <w:szCs w:val="24"/>
        </w:rPr>
      </w:pPr>
    </w:p>
    <w:p w14:paraId="5525F4BE">
      <w:pPr>
        <w:tabs>
          <w:tab w:val="left" w:pos="3403"/>
        </w:tabs>
        <w:spacing w:before="28"/>
        <w:ind w:left="2" w:right="44"/>
        <w:jc w:val="center"/>
        <w:rPr>
          <w:rFonts w:hint="default" w:ascii="Times New Roman" w:hAnsi="Times New Roman" w:cs="Times New Roman"/>
          <w:b/>
          <w:sz w:val="24"/>
          <w:szCs w:val="24"/>
        </w:rPr>
      </w:pPr>
    </w:p>
    <w:p w14:paraId="4454A682">
      <w:pPr>
        <w:tabs>
          <w:tab w:val="left" w:pos="3403"/>
        </w:tabs>
        <w:spacing w:before="28"/>
        <w:ind w:left="2" w:right="44"/>
        <w:jc w:val="center"/>
        <w:rPr>
          <w:rFonts w:hint="default" w:ascii="Times New Roman" w:hAnsi="Times New Roman" w:cs="Times New Roman"/>
          <w:b/>
          <w:sz w:val="24"/>
          <w:szCs w:val="24"/>
        </w:rPr>
      </w:pPr>
    </w:p>
    <w:p w14:paraId="2A737236">
      <w:pPr>
        <w:tabs>
          <w:tab w:val="left" w:pos="3403"/>
        </w:tabs>
        <w:spacing w:before="28"/>
        <w:ind w:left="2" w:right="44"/>
        <w:jc w:val="center"/>
        <w:rPr>
          <w:rFonts w:hint="default" w:ascii="Times New Roman" w:hAnsi="Times New Roman" w:cs="Times New Roman"/>
          <w:b/>
          <w:sz w:val="24"/>
          <w:szCs w:val="24"/>
        </w:rPr>
      </w:pPr>
    </w:p>
    <w:p w14:paraId="0179D041">
      <w:pPr>
        <w:tabs>
          <w:tab w:val="left" w:pos="3403"/>
        </w:tabs>
        <w:spacing w:before="28"/>
        <w:ind w:left="2" w:right="44"/>
        <w:jc w:val="center"/>
        <w:rPr>
          <w:rFonts w:hint="default" w:ascii="Times New Roman" w:hAnsi="Times New Roman" w:cs="Times New Roman"/>
          <w:b/>
          <w:sz w:val="24"/>
          <w:szCs w:val="24"/>
        </w:rPr>
      </w:pPr>
    </w:p>
    <w:p w14:paraId="43A303C0">
      <w:pPr>
        <w:tabs>
          <w:tab w:val="left" w:pos="3403"/>
        </w:tabs>
        <w:spacing w:before="28"/>
        <w:ind w:left="2" w:right="44"/>
        <w:jc w:val="center"/>
        <w:rPr>
          <w:rFonts w:hint="default" w:ascii="Times New Roman" w:hAnsi="Times New Roman" w:cs="Times New Roman"/>
          <w:b/>
          <w:sz w:val="24"/>
          <w:szCs w:val="24"/>
        </w:rPr>
      </w:pPr>
    </w:p>
    <w:p w14:paraId="2062DAF9">
      <w:pPr>
        <w:tabs>
          <w:tab w:val="left" w:pos="3403"/>
        </w:tabs>
        <w:spacing w:before="28"/>
        <w:ind w:left="2" w:right="44"/>
        <w:jc w:val="center"/>
        <w:rPr>
          <w:rFonts w:hint="default" w:ascii="Times New Roman" w:hAnsi="Times New Roman" w:cs="Times New Roman"/>
          <w:b/>
          <w:sz w:val="24"/>
          <w:szCs w:val="24"/>
        </w:rPr>
      </w:pPr>
    </w:p>
    <w:p w14:paraId="316094D2">
      <w:pPr>
        <w:tabs>
          <w:tab w:val="left" w:pos="3403"/>
        </w:tabs>
        <w:spacing w:before="28"/>
        <w:ind w:left="2" w:right="44"/>
        <w:jc w:val="center"/>
        <w:rPr>
          <w:rFonts w:hint="default" w:ascii="Times New Roman" w:hAnsi="Times New Roman" w:cs="Times New Roman"/>
          <w:b/>
          <w:sz w:val="24"/>
          <w:szCs w:val="24"/>
        </w:rPr>
      </w:pPr>
    </w:p>
    <w:p w14:paraId="036D9B73">
      <w:pPr>
        <w:tabs>
          <w:tab w:val="left" w:pos="3403"/>
        </w:tabs>
        <w:spacing w:before="28"/>
        <w:ind w:left="2" w:right="44"/>
        <w:jc w:val="center"/>
        <w:rPr>
          <w:rFonts w:hint="default" w:ascii="Times New Roman" w:hAnsi="Times New Roman" w:cs="Times New Roman"/>
          <w:b/>
          <w:sz w:val="24"/>
          <w:szCs w:val="24"/>
        </w:rPr>
      </w:pPr>
    </w:p>
    <w:p w14:paraId="3F114274">
      <w:pPr>
        <w:tabs>
          <w:tab w:val="left" w:pos="3403"/>
        </w:tabs>
        <w:spacing w:before="28"/>
        <w:ind w:left="2" w:right="44"/>
        <w:jc w:val="center"/>
        <w:rPr>
          <w:rFonts w:hint="default" w:ascii="Times New Roman" w:hAnsi="Times New Roman" w:cs="Times New Roman"/>
          <w:b/>
          <w:sz w:val="24"/>
          <w:szCs w:val="24"/>
        </w:rPr>
      </w:pPr>
    </w:p>
    <w:p w14:paraId="026FD499">
      <w:pPr>
        <w:tabs>
          <w:tab w:val="left" w:pos="3403"/>
        </w:tabs>
        <w:spacing w:before="28"/>
        <w:ind w:left="2" w:right="44"/>
        <w:jc w:val="center"/>
        <w:rPr>
          <w:rFonts w:hint="default" w:ascii="Times New Roman" w:hAnsi="Times New Roman" w:cs="Times New Roman"/>
          <w:b/>
          <w:sz w:val="24"/>
          <w:szCs w:val="24"/>
        </w:rPr>
      </w:pPr>
    </w:p>
    <w:p w14:paraId="3731A35F">
      <w:pPr>
        <w:tabs>
          <w:tab w:val="left" w:pos="3403"/>
        </w:tabs>
        <w:spacing w:before="28"/>
        <w:ind w:left="2" w:right="44"/>
        <w:jc w:val="center"/>
        <w:rPr>
          <w:rFonts w:hint="default" w:ascii="Times New Roman" w:hAnsi="Times New Roman" w:cs="Times New Roman"/>
          <w:b/>
          <w:sz w:val="24"/>
          <w:szCs w:val="24"/>
        </w:rPr>
      </w:pPr>
    </w:p>
    <w:p w14:paraId="4EFEA229">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eastAsia" w:ascii="Times New Roman" w:hAnsi="Times New Roman" w:cs="Times New Roman"/>
          <w:b/>
          <w:sz w:val="24"/>
          <w:szCs w:val="24"/>
          <w:lang w:val="en-US" w:eastAsia="zh-CN"/>
        </w:rPr>
        <w:t>20</w:t>
      </w:r>
      <w:r>
        <w:rPr>
          <w:rFonts w:hint="default" w:ascii="Times New Roman" w:hAnsi="Times New Roman" w:cs="Times New Roman"/>
          <w:b/>
          <w:sz w:val="24"/>
          <w:szCs w:val="24"/>
        </w:rPr>
        <w:t xml:space="preserve">  </w:t>
      </w:r>
      <w:r>
        <w:rPr>
          <w:rFonts w:hint="eastAsia" w:ascii="Times New Roman" w:hAnsi="Times New Roman" w:cs="Times New Roman"/>
          <w:b/>
          <w:sz w:val="24"/>
          <w:szCs w:val="24"/>
          <w:lang w:val="en-US" w:eastAsia="zh-CN"/>
        </w:rPr>
        <w:t>石笼挡墙</w:t>
      </w:r>
      <w:r>
        <w:rPr>
          <w:rFonts w:hint="default" w:ascii="Times New Roman" w:hAnsi="Times New Roman" w:cs="Times New Roman"/>
          <w:b/>
          <w:sz w:val="24"/>
          <w:szCs w:val="24"/>
        </w:rPr>
        <w:t>拆除单价表（机械拆除）</w:t>
      </w:r>
    </w:p>
    <w:p w14:paraId="06026728">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定额编号：1-298                                             定额单位：100</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p w14:paraId="68AB2C5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工作内容：拆除、清理、堆放。                                   金额单位：元</w:t>
      </w:r>
    </w:p>
    <w:tbl>
      <w:tblPr>
        <w:tblStyle w:val="42"/>
        <w:tblW w:w="5000" w:type="pct"/>
        <w:jc w:val="center"/>
        <w:tblLayout w:type="autofit"/>
        <w:tblCellMar>
          <w:top w:w="11" w:type="dxa"/>
          <w:left w:w="11" w:type="dxa"/>
          <w:bottom w:w="11" w:type="dxa"/>
          <w:right w:w="11" w:type="dxa"/>
        </w:tblCellMar>
      </w:tblPr>
      <w:tblGrid>
        <w:gridCol w:w="1200"/>
        <w:gridCol w:w="2530"/>
        <w:gridCol w:w="1272"/>
        <w:gridCol w:w="1164"/>
        <w:gridCol w:w="1170"/>
        <w:gridCol w:w="1764"/>
      </w:tblGrid>
      <w:tr w14:paraId="5BB9B2D2">
        <w:tblPrEx>
          <w:tblCellMar>
            <w:top w:w="11" w:type="dxa"/>
            <w:left w:w="11" w:type="dxa"/>
            <w:bottom w:w="11" w:type="dxa"/>
            <w:right w:w="11" w:type="dxa"/>
          </w:tblCellMar>
        </w:tblPrEx>
        <w:trPr>
          <w:trHeight w:val="20" w:hRule="atLeast"/>
          <w:jc w:val="center"/>
        </w:trPr>
        <w:tc>
          <w:tcPr>
            <w:tcW w:w="1200" w:type="dxa"/>
            <w:tcBorders>
              <w:top w:val="single" w:color="000000" w:sz="12" w:space="0"/>
              <w:left w:val="single" w:color="000000" w:sz="12" w:space="0"/>
              <w:bottom w:val="single" w:color="000000" w:sz="8" w:space="0"/>
              <w:right w:val="single" w:color="000000" w:sz="8" w:space="0"/>
            </w:tcBorders>
            <w:shd w:val="clear" w:color="auto" w:fill="FFFFFF"/>
            <w:vAlign w:val="center"/>
          </w:tcPr>
          <w:p w14:paraId="1B5DF12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序号</w:t>
            </w:r>
          </w:p>
        </w:tc>
        <w:tc>
          <w:tcPr>
            <w:tcW w:w="2530" w:type="dxa"/>
            <w:tcBorders>
              <w:top w:val="single" w:color="000000" w:sz="12" w:space="0"/>
              <w:left w:val="nil"/>
              <w:bottom w:val="single" w:color="000000" w:sz="8" w:space="0"/>
              <w:right w:val="single" w:color="000000" w:sz="8" w:space="0"/>
            </w:tcBorders>
            <w:shd w:val="clear" w:color="auto" w:fill="FFFFFF"/>
            <w:vAlign w:val="center"/>
          </w:tcPr>
          <w:p w14:paraId="77B80D5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项目名称</w:t>
            </w:r>
          </w:p>
        </w:tc>
        <w:tc>
          <w:tcPr>
            <w:tcW w:w="1272" w:type="dxa"/>
            <w:tcBorders>
              <w:top w:val="single" w:color="000000" w:sz="12" w:space="0"/>
              <w:left w:val="nil"/>
              <w:bottom w:val="single" w:color="000000" w:sz="8" w:space="0"/>
              <w:right w:val="single" w:color="000000" w:sz="8" w:space="0"/>
            </w:tcBorders>
            <w:shd w:val="clear" w:color="auto" w:fill="FFFFFF"/>
            <w:vAlign w:val="center"/>
          </w:tcPr>
          <w:p w14:paraId="68F6657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位</w:t>
            </w:r>
          </w:p>
        </w:tc>
        <w:tc>
          <w:tcPr>
            <w:tcW w:w="1164" w:type="dxa"/>
            <w:tcBorders>
              <w:top w:val="single" w:color="000000" w:sz="12" w:space="0"/>
              <w:left w:val="nil"/>
              <w:bottom w:val="single" w:color="000000" w:sz="8" w:space="0"/>
              <w:right w:val="single" w:color="000000" w:sz="8" w:space="0"/>
            </w:tcBorders>
            <w:shd w:val="clear" w:color="auto" w:fill="FFFFFF"/>
            <w:vAlign w:val="center"/>
          </w:tcPr>
          <w:p w14:paraId="670A2D1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数   量</w:t>
            </w:r>
          </w:p>
        </w:tc>
        <w:tc>
          <w:tcPr>
            <w:tcW w:w="1170" w:type="dxa"/>
            <w:tcBorders>
              <w:top w:val="single" w:color="000000" w:sz="12" w:space="0"/>
              <w:left w:val="nil"/>
              <w:bottom w:val="single" w:color="000000" w:sz="8" w:space="0"/>
              <w:right w:val="single" w:color="000000" w:sz="8" w:space="0"/>
            </w:tcBorders>
            <w:shd w:val="clear" w:color="auto" w:fill="FFFFFF"/>
            <w:vAlign w:val="center"/>
          </w:tcPr>
          <w:p w14:paraId="468CCE3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价</w:t>
            </w:r>
          </w:p>
        </w:tc>
        <w:tc>
          <w:tcPr>
            <w:tcW w:w="1764" w:type="dxa"/>
            <w:tcBorders>
              <w:top w:val="single" w:color="000000" w:sz="12" w:space="0"/>
              <w:left w:val="nil"/>
              <w:bottom w:val="single" w:color="000000" w:sz="8" w:space="0"/>
              <w:right w:val="single" w:color="000000" w:sz="12" w:space="0"/>
            </w:tcBorders>
            <w:shd w:val="clear" w:color="auto" w:fill="FFFFFF"/>
            <w:vAlign w:val="center"/>
          </w:tcPr>
          <w:p w14:paraId="2C9211D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    计</w:t>
            </w:r>
          </w:p>
        </w:tc>
      </w:tr>
      <w:tr w14:paraId="53999B52">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7B4211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21EEFC8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272" w:type="dxa"/>
            <w:tcBorders>
              <w:top w:val="nil"/>
              <w:left w:val="nil"/>
              <w:bottom w:val="single" w:color="000000" w:sz="8" w:space="0"/>
              <w:right w:val="single" w:color="000000" w:sz="8" w:space="0"/>
            </w:tcBorders>
            <w:shd w:val="clear" w:color="auto" w:fill="FFFFFF"/>
            <w:vAlign w:val="center"/>
          </w:tcPr>
          <w:p w14:paraId="1A7431F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7C83EFE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48EAECEC">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4C2123E3">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803.18</w:t>
            </w:r>
          </w:p>
        </w:tc>
      </w:tr>
      <w:tr w14:paraId="000B11E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9BF38C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2B4716F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272" w:type="dxa"/>
            <w:tcBorders>
              <w:top w:val="nil"/>
              <w:left w:val="nil"/>
              <w:bottom w:val="single" w:color="000000" w:sz="8" w:space="0"/>
              <w:right w:val="single" w:color="000000" w:sz="8" w:space="0"/>
            </w:tcBorders>
            <w:shd w:val="clear" w:color="auto" w:fill="FFFFFF"/>
            <w:vAlign w:val="center"/>
          </w:tcPr>
          <w:p w14:paraId="6712A56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1A4724A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564304DE">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58423621">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764.93</w:t>
            </w:r>
          </w:p>
        </w:tc>
      </w:tr>
      <w:tr w14:paraId="22252D23">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FEF364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7195D72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272" w:type="dxa"/>
            <w:tcBorders>
              <w:top w:val="nil"/>
              <w:left w:val="nil"/>
              <w:bottom w:val="single" w:color="000000" w:sz="8" w:space="0"/>
              <w:right w:val="single" w:color="000000" w:sz="8" w:space="0"/>
            </w:tcBorders>
            <w:shd w:val="clear" w:color="auto" w:fill="FFFFFF"/>
            <w:vAlign w:val="center"/>
          </w:tcPr>
          <w:p w14:paraId="29E96AA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09FDD52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17526ECB">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4B191269">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48.65</w:t>
            </w:r>
          </w:p>
        </w:tc>
      </w:tr>
      <w:tr w14:paraId="6AE6C9AE">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6351C0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472234A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272" w:type="dxa"/>
            <w:tcBorders>
              <w:top w:val="nil"/>
              <w:left w:val="nil"/>
              <w:bottom w:val="single" w:color="000000" w:sz="8" w:space="0"/>
              <w:right w:val="single" w:color="000000" w:sz="8" w:space="0"/>
            </w:tcBorders>
            <w:shd w:val="clear" w:color="auto" w:fill="FFFFFF"/>
            <w:vAlign w:val="center"/>
          </w:tcPr>
          <w:p w14:paraId="03E5359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2BD9738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w:t>
            </w:r>
          </w:p>
        </w:tc>
        <w:tc>
          <w:tcPr>
            <w:tcW w:w="1170" w:type="dxa"/>
            <w:tcBorders>
              <w:top w:val="nil"/>
              <w:left w:val="nil"/>
              <w:bottom w:val="single" w:color="000000" w:sz="8" w:space="0"/>
              <w:right w:val="single" w:color="000000" w:sz="8" w:space="0"/>
            </w:tcBorders>
            <w:shd w:val="clear" w:color="auto" w:fill="auto"/>
            <w:vAlign w:val="center"/>
          </w:tcPr>
          <w:p w14:paraId="379A05B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58.04</w:t>
            </w:r>
          </w:p>
        </w:tc>
        <w:tc>
          <w:tcPr>
            <w:tcW w:w="1764" w:type="dxa"/>
            <w:tcBorders>
              <w:top w:val="nil"/>
              <w:left w:val="nil"/>
              <w:bottom w:val="single" w:color="000000" w:sz="8" w:space="0"/>
              <w:right w:val="single" w:color="000000" w:sz="12" w:space="0"/>
            </w:tcBorders>
            <w:shd w:val="clear" w:color="auto" w:fill="FFFFFF"/>
            <w:vAlign w:val="center"/>
          </w:tcPr>
          <w:p w14:paraId="2432971F">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5.8</w:t>
            </w:r>
          </w:p>
        </w:tc>
      </w:tr>
      <w:tr w14:paraId="4A1906E3">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6EB4D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1CC7608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272" w:type="dxa"/>
            <w:tcBorders>
              <w:top w:val="nil"/>
              <w:left w:val="nil"/>
              <w:bottom w:val="single" w:color="000000" w:sz="8" w:space="0"/>
              <w:right w:val="single" w:color="000000" w:sz="8" w:space="0"/>
            </w:tcBorders>
            <w:shd w:val="clear" w:color="auto" w:fill="FFFFFF"/>
            <w:vAlign w:val="center"/>
          </w:tcPr>
          <w:p w14:paraId="30CC179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7887B7E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0.9</w:t>
            </w:r>
          </w:p>
        </w:tc>
        <w:tc>
          <w:tcPr>
            <w:tcW w:w="1170" w:type="dxa"/>
            <w:tcBorders>
              <w:top w:val="nil"/>
              <w:left w:val="nil"/>
              <w:bottom w:val="single" w:color="000000" w:sz="8" w:space="0"/>
              <w:right w:val="single" w:color="000000" w:sz="8" w:space="0"/>
            </w:tcBorders>
            <w:shd w:val="clear" w:color="auto" w:fill="auto"/>
            <w:vAlign w:val="center"/>
          </w:tcPr>
          <w:p w14:paraId="75A0B453">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45.03</w:t>
            </w:r>
          </w:p>
        </w:tc>
        <w:tc>
          <w:tcPr>
            <w:tcW w:w="1764" w:type="dxa"/>
            <w:tcBorders>
              <w:top w:val="nil"/>
              <w:left w:val="nil"/>
              <w:bottom w:val="single" w:color="000000" w:sz="8" w:space="0"/>
              <w:right w:val="single" w:color="000000" w:sz="12" w:space="0"/>
            </w:tcBorders>
            <w:shd w:val="clear" w:color="auto" w:fill="FFFFFF"/>
            <w:vAlign w:val="center"/>
          </w:tcPr>
          <w:p w14:paraId="79D4AB15">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40.53</w:t>
            </w:r>
          </w:p>
        </w:tc>
      </w:tr>
      <w:tr w14:paraId="37D0B50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A91C30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12B29B7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272" w:type="dxa"/>
            <w:tcBorders>
              <w:top w:val="nil"/>
              <w:left w:val="nil"/>
              <w:bottom w:val="single" w:color="000000" w:sz="8" w:space="0"/>
              <w:right w:val="single" w:color="000000" w:sz="8" w:space="0"/>
            </w:tcBorders>
            <w:shd w:val="clear" w:color="auto" w:fill="FFFFFF"/>
            <w:vAlign w:val="center"/>
          </w:tcPr>
          <w:p w14:paraId="3655AD4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7CA2BE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7805F8C5">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46.33</w:t>
            </w:r>
          </w:p>
        </w:tc>
        <w:tc>
          <w:tcPr>
            <w:tcW w:w="1764" w:type="dxa"/>
            <w:tcBorders>
              <w:top w:val="nil"/>
              <w:left w:val="nil"/>
              <w:bottom w:val="single" w:color="000000" w:sz="8" w:space="0"/>
              <w:right w:val="single" w:color="000000" w:sz="12" w:space="0"/>
            </w:tcBorders>
            <w:shd w:val="clear" w:color="auto" w:fill="FFFFFF"/>
            <w:vAlign w:val="center"/>
          </w:tcPr>
          <w:p w14:paraId="12594D4A">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2.32</w:t>
            </w:r>
          </w:p>
        </w:tc>
      </w:tr>
      <w:tr w14:paraId="17996C8C">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033A1B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343511D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机械费</w:t>
            </w:r>
          </w:p>
        </w:tc>
        <w:tc>
          <w:tcPr>
            <w:tcW w:w="1272" w:type="dxa"/>
            <w:tcBorders>
              <w:top w:val="nil"/>
              <w:left w:val="nil"/>
              <w:bottom w:val="single" w:color="000000" w:sz="8" w:space="0"/>
              <w:right w:val="single" w:color="000000" w:sz="8" w:space="0"/>
            </w:tcBorders>
            <w:shd w:val="clear" w:color="auto" w:fill="FFFFFF"/>
            <w:vAlign w:val="center"/>
          </w:tcPr>
          <w:p w14:paraId="0130086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14298B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1465EB5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434DF4F8">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716.29</w:t>
            </w:r>
          </w:p>
        </w:tc>
      </w:tr>
      <w:tr w14:paraId="4E13D2BF">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DAC94E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1DF346B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挖掘机油动 1</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1272" w:type="dxa"/>
            <w:tcBorders>
              <w:top w:val="nil"/>
              <w:left w:val="nil"/>
              <w:bottom w:val="single" w:color="000000" w:sz="8" w:space="0"/>
              <w:right w:val="single" w:color="000000" w:sz="8" w:space="0"/>
            </w:tcBorders>
            <w:shd w:val="clear" w:color="auto" w:fill="FFFFFF"/>
            <w:vAlign w:val="center"/>
          </w:tcPr>
          <w:p w14:paraId="7953829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7BF512E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0.22</w:t>
            </w:r>
          </w:p>
        </w:tc>
        <w:tc>
          <w:tcPr>
            <w:tcW w:w="1170" w:type="dxa"/>
            <w:tcBorders>
              <w:top w:val="nil"/>
              <w:left w:val="nil"/>
              <w:bottom w:val="single" w:color="000000" w:sz="8" w:space="0"/>
              <w:right w:val="single" w:color="000000" w:sz="8" w:space="0"/>
            </w:tcBorders>
            <w:shd w:val="clear" w:color="auto" w:fill="FFFFFF"/>
            <w:vAlign w:val="bottom"/>
          </w:tcPr>
          <w:p w14:paraId="4A7C000A">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776.49</w:t>
            </w:r>
          </w:p>
        </w:tc>
        <w:tc>
          <w:tcPr>
            <w:tcW w:w="1764" w:type="dxa"/>
            <w:tcBorders>
              <w:top w:val="nil"/>
              <w:left w:val="nil"/>
              <w:bottom w:val="single" w:color="000000" w:sz="8" w:space="0"/>
              <w:right w:val="single" w:color="000000" w:sz="12" w:space="0"/>
            </w:tcBorders>
            <w:shd w:val="clear" w:color="auto" w:fill="FFFFFF"/>
            <w:vAlign w:val="center"/>
          </w:tcPr>
          <w:p w14:paraId="3FE2BED1">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170.83</w:t>
            </w:r>
          </w:p>
        </w:tc>
      </w:tr>
      <w:tr w14:paraId="77A77D5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B35CD1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63F4A9B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推土机 59kw</w:t>
            </w:r>
          </w:p>
        </w:tc>
        <w:tc>
          <w:tcPr>
            <w:tcW w:w="1272" w:type="dxa"/>
            <w:tcBorders>
              <w:top w:val="nil"/>
              <w:left w:val="nil"/>
              <w:bottom w:val="single" w:color="000000" w:sz="8" w:space="0"/>
              <w:right w:val="single" w:color="000000" w:sz="8" w:space="0"/>
            </w:tcBorders>
            <w:shd w:val="clear" w:color="auto" w:fill="FFFFFF"/>
            <w:vAlign w:val="center"/>
          </w:tcPr>
          <w:p w14:paraId="6379B50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544305A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0.16</w:t>
            </w:r>
          </w:p>
        </w:tc>
        <w:tc>
          <w:tcPr>
            <w:tcW w:w="1170" w:type="dxa"/>
            <w:tcBorders>
              <w:top w:val="nil"/>
              <w:left w:val="nil"/>
              <w:bottom w:val="single" w:color="000000" w:sz="8" w:space="0"/>
              <w:right w:val="single" w:color="000000" w:sz="8" w:space="0"/>
            </w:tcBorders>
            <w:shd w:val="clear" w:color="auto" w:fill="FFFFFF"/>
            <w:vAlign w:val="bottom"/>
          </w:tcPr>
          <w:p w14:paraId="6F3DCF1E">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389.54</w:t>
            </w:r>
          </w:p>
        </w:tc>
        <w:tc>
          <w:tcPr>
            <w:tcW w:w="1764" w:type="dxa"/>
            <w:tcBorders>
              <w:top w:val="nil"/>
              <w:left w:val="nil"/>
              <w:bottom w:val="single" w:color="000000" w:sz="8" w:space="0"/>
              <w:right w:val="single" w:color="000000" w:sz="12" w:space="0"/>
            </w:tcBorders>
            <w:shd w:val="clear" w:color="auto" w:fill="FFFFFF"/>
            <w:vAlign w:val="center"/>
          </w:tcPr>
          <w:p w14:paraId="099599A5">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62.33</w:t>
            </w:r>
          </w:p>
        </w:tc>
      </w:tr>
      <w:tr w14:paraId="76A63B5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70DB8F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4D2C2F9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自卸汽车8t</w:t>
            </w:r>
          </w:p>
        </w:tc>
        <w:tc>
          <w:tcPr>
            <w:tcW w:w="1272" w:type="dxa"/>
            <w:tcBorders>
              <w:top w:val="nil"/>
              <w:left w:val="nil"/>
              <w:bottom w:val="single" w:color="000000" w:sz="8" w:space="0"/>
              <w:right w:val="single" w:color="000000" w:sz="8" w:space="0"/>
            </w:tcBorders>
            <w:shd w:val="clear" w:color="auto" w:fill="FFFFFF"/>
            <w:vAlign w:val="center"/>
          </w:tcPr>
          <w:p w14:paraId="64424BE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04B231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0.84</w:t>
            </w:r>
          </w:p>
        </w:tc>
        <w:tc>
          <w:tcPr>
            <w:tcW w:w="1170" w:type="dxa"/>
            <w:tcBorders>
              <w:top w:val="nil"/>
              <w:left w:val="nil"/>
              <w:bottom w:val="single" w:color="000000" w:sz="8" w:space="0"/>
              <w:right w:val="single" w:color="000000" w:sz="8" w:space="0"/>
            </w:tcBorders>
            <w:shd w:val="clear" w:color="auto" w:fill="FFFFFF"/>
            <w:vAlign w:val="bottom"/>
          </w:tcPr>
          <w:p w14:paraId="61960DDE">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534.55</w:t>
            </w:r>
          </w:p>
        </w:tc>
        <w:tc>
          <w:tcPr>
            <w:tcW w:w="1764" w:type="dxa"/>
            <w:tcBorders>
              <w:top w:val="nil"/>
              <w:left w:val="nil"/>
              <w:bottom w:val="single" w:color="000000" w:sz="8" w:space="0"/>
              <w:right w:val="single" w:color="000000" w:sz="12" w:space="0"/>
            </w:tcBorders>
            <w:shd w:val="clear" w:color="auto" w:fill="FFFFFF"/>
            <w:vAlign w:val="center"/>
          </w:tcPr>
          <w:p w14:paraId="165A22A5">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449.02</w:t>
            </w:r>
          </w:p>
        </w:tc>
      </w:tr>
      <w:tr w14:paraId="0EEB421A">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B059B1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530" w:type="dxa"/>
            <w:tcBorders>
              <w:top w:val="nil"/>
              <w:left w:val="nil"/>
              <w:bottom w:val="single" w:color="000000" w:sz="8" w:space="0"/>
              <w:right w:val="single" w:color="000000" w:sz="8" w:space="0"/>
            </w:tcBorders>
            <w:shd w:val="clear" w:color="auto" w:fill="FFFFFF"/>
            <w:vAlign w:val="center"/>
          </w:tcPr>
          <w:p w14:paraId="0664FC7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其他机械费</w:t>
            </w:r>
          </w:p>
        </w:tc>
        <w:tc>
          <w:tcPr>
            <w:tcW w:w="1272" w:type="dxa"/>
            <w:tcBorders>
              <w:top w:val="nil"/>
              <w:left w:val="nil"/>
              <w:bottom w:val="single" w:color="000000" w:sz="8" w:space="0"/>
              <w:right w:val="single" w:color="000000" w:sz="8" w:space="0"/>
            </w:tcBorders>
            <w:shd w:val="clear" w:color="auto" w:fill="FFFFFF"/>
            <w:vAlign w:val="center"/>
          </w:tcPr>
          <w:p w14:paraId="36F4FA9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76878F2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3628552B">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682.18</w:t>
            </w:r>
          </w:p>
        </w:tc>
        <w:tc>
          <w:tcPr>
            <w:tcW w:w="1764" w:type="dxa"/>
            <w:tcBorders>
              <w:top w:val="nil"/>
              <w:left w:val="nil"/>
              <w:bottom w:val="single" w:color="000000" w:sz="8" w:space="0"/>
              <w:right w:val="single" w:color="000000" w:sz="12" w:space="0"/>
            </w:tcBorders>
            <w:shd w:val="clear" w:color="auto" w:fill="FFFFFF"/>
            <w:vAlign w:val="center"/>
          </w:tcPr>
          <w:p w14:paraId="7E2D77EB">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34.11</w:t>
            </w:r>
          </w:p>
        </w:tc>
      </w:tr>
      <w:tr w14:paraId="2A9689D4">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D97F1A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213549E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272" w:type="dxa"/>
            <w:tcBorders>
              <w:top w:val="nil"/>
              <w:left w:val="nil"/>
              <w:bottom w:val="single" w:color="000000" w:sz="8" w:space="0"/>
              <w:right w:val="single" w:color="000000" w:sz="8" w:space="0"/>
            </w:tcBorders>
            <w:shd w:val="clear" w:color="auto" w:fill="FFFFFF"/>
            <w:vAlign w:val="center"/>
          </w:tcPr>
          <w:p w14:paraId="73E9A19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5B8A396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11F6DB12">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764.93</w:t>
            </w:r>
          </w:p>
        </w:tc>
        <w:tc>
          <w:tcPr>
            <w:tcW w:w="1764" w:type="dxa"/>
            <w:tcBorders>
              <w:top w:val="nil"/>
              <w:left w:val="nil"/>
              <w:bottom w:val="single" w:color="000000" w:sz="8" w:space="0"/>
              <w:right w:val="single" w:color="000000" w:sz="12" w:space="0"/>
            </w:tcBorders>
            <w:shd w:val="clear" w:color="auto" w:fill="FFFFFF"/>
            <w:vAlign w:val="center"/>
          </w:tcPr>
          <w:p w14:paraId="054EE092">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38.25</w:t>
            </w:r>
          </w:p>
        </w:tc>
      </w:tr>
      <w:tr w14:paraId="27577D7A">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596340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7F7C2F4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272" w:type="dxa"/>
            <w:tcBorders>
              <w:top w:val="nil"/>
              <w:left w:val="nil"/>
              <w:bottom w:val="single" w:color="000000" w:sz="8" w:space="0"/>
              <w:right w:val="single" w:color="000000" w:sz="8" w:space="0"/>
            </w:tcBorders>
            <w:shd w:val="clear" w:color="auto" w:fill="FFFFFF"/>
            <w:vAlign w:val="center"/>
          </w:tcPr>
          <w:p w14:paraId="5C3D74B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67911DA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3F8F84B8">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803.18</w:t>
            </w:r>
          </w:p>
        </w:tc>
        <w:tc>
          <w:tcPr>
            <w:tcW w:w="1764" w:type="dxa"/>
            <w:tcBorders>
              <w:top w:val="nil"/>
              <w:left w:val="nil"/>
              <w:bottom w:val="single" w:color="000000" w:sz="8" w:space="0"/>
              <w:right w:val="single" w:color="000000" w:sz="12" w:space="0"/>
            </w:tcBorders>
            <w:shd w:val="clear" w:color="auto" w:fill="FFFFFF"/>
            <w:vAlign w:val="center"/>
          </w:tcPr>
          <w:p w14:paraId="7F9D92E6">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40.16</w:t>
            </w:r>
          </w:p>
        </w:tc>
      </w:tr>
      <w:tr w14:paraId="7B222259">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3EDA2F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2530" w:type="dxa"/>
            <w:tcBorders>
              <w:top w:val="nil"/>
              <w:left w:val="nil"/>
              <w:bottom w:val="single" w:color="000000" w:sz="8" w:space="0"/>
              <w:right w:val="single" w:color="000000" w:sz="8" w:space="0"/>
            </w:tcBorders>
            <w:shd w:val="clear" w:color="auto" w:fill="FFFFFF"/>
            <w:vAlign w:val="center"/>
          </w:tcPr>
          <w:p w14:paraId="0ABFB93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272" w:type="dxa"/>
            <w:tcBorders>
              <w:top w:val="nil"/>
              <w:left w:val="nil"/>
              <w:bottom w:val="single" w:color="000000" w:sz="8" w:space="0"/>
              <w:right w:val="single" w:color="000000" w:sz="8" w:space="0"/>
            </w:tcBorders>
            <w:shd w:val="clear" w:color="auto" w:fill="FFFFFF"/>
            <w:vAlign w:val="center"/>
          </w:tcPr>
          <w:p w14:paraId="368F890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4EF1BC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1170" w:type="dxa"/>
            <w:tcBorders>
              <w:top w:val="nil"/>
              <w:left w:val="nil"/>
              <w:bottom w:val="single" w:color="000000" w:sz="8" w:space="0"/>
              <w:right w:val="single" w:color="000000" w:sz="8" w:space="0"/>
            </w:tcBorders>
            <w:shd w:val="clear" w:color="auto" w:fill="FFFFFF"/>
            <w:vAlign w:val="center"/>
          </w:tcPr>
          <w:p w14:paraId="5CF399EF">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843.34</w:t>
            </w:r>
          </w:p>
        </w:tc>
        <w:tc>
          <w:tcPr>
            <w:tcW w:w="1764" w:type="dxa"/>
            <w:tcBorders>
              <w:top w:val="nil"/>
              <w:left w:val="nil"/>
              <w:bottom w:val="single" w:color="000000" w:sz="8" w:space="0"/>
              <w:right w:val="single" w:color="000000" w:sz="12" w:space="0"/>
            </w:tcBorders>
            <w:shd w:val="clear" w:color="auto" w:fill="FFFFFF"/>
            <w:vAlign w:val="center"/>
          </w:tcPr>
          <w:p w14:paraId="15D25802">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59.03</w:t>
            </w:r>
          </w:p>
        </w:tc>
      </w:tr>
      <w:tr w14:paraId="636CBA3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485753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2530" w:type="dxa"/>
            <w:tcBorders>
              <w:top w:val="nil"/>
              <w:left w:val="nil"/>
              <w:bottom w:val="single" w:color="000000" w:sz="8" w:space="0"/>
              <w:right w:val="single" w:color="000000" w:sz="8" w:space="0"/>
            </w:tcBorders>
            <w:shd w:val="clear" w:color="auto" w:fill="FFFFFF"/>
            <w:vAlign w:val="center"/>
          </w:tcPr>
          <w:p w14:paraId="2B718B5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材料价差</w:t>
            </w:r>
          </w:p>
        </w:tc>
        <w:tc>
          <w:tcPr>
            <w:tcW w:w="1272" w:type="dxa"/>
            <w:tcBorders>
              <w:top w:val="nil"/>
              <w:left w:val="nil"/>
              <w:bottom w:val="single" w:color="000000" w:sz="8" w:space="0"/>
              <w:right w:val="single" w:color="000000" w:sz="8" w:space="0"/>
            </w:tcBorders>
            <w:shd w:val="clear" w:color="auto" w:fill="FFFFFF"/>
            <w:vAlign w:val="center"/>
          </w:tcPr>
          <w:p w14:paraId="10E6DDD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75FB009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3673D8AE">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27EDF59E">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202.67 </w:t>
            </w:r>
          </w:p>
        </w:tc>
      </w:tr>
      <w:tr w14:paraId="3996AE3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BBB92D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7DCCB1E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柴油</w:t>
            </w:r>
          </w:p>
        </w:tc>
        <w:tc>
          <w:tcPr>
            <w:tcW w:w="1272" w:type="dxa"/>
            <w:tcBorders>
              <w:top w:val="nil"/>
              <w:left w:val="nil"/>
              <w:bottom w:val="single" w:color="000000" w:sz="8" w:space="0"/>
              <w:right w:val="single" w:color="000000" w:sz="8" w:space="0"/>
            </w:tcBorders>
            <w:shd w:val="clear" w:color="auto" w:fill="FFFFFF"/>
            <w:vAlign w:val="center"/>
          </w:tcPr>
          <w:p w14:paraId="7E77F1F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kg</w:t>
            </w:r>
          </w:p>
        </w:tc>
        <w:tc>
          <w:tcPr>
            <w:tcW w:w="1164" w:type="dxa"/>
            <w:tcBorders>
              <w:top w:val="nil"/>
              <w:left w:val="nil"/>
              <w:bottom w:val="single" w:color="000000" w:sz="8" w:space="0"/>
              <w:right w:val="single" w:color="000000" w:sz="8" w:space="0"/>
            </w:tcBorders>
            <w:shd w:val="clear" w:color="auto" w:fill="FFFFFF"/>
            <w:vAlign w:val="center"/>
          </w:tcPr>
          <w:p w14:paraId="76481FD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62.36</w:t>
            </w:r>
          </w:p>
        </w:tc>
        <w:tc>
          <w:tcPr>
            <w:tcW w:w="1170" w:type="dxa"/>
            <w:tcBorders>
              <w:top w:val="nil"/>
              <w:left w:val="nil"/>
              <w:bottom w:val="single" w:color="000000" w:sz="8" w:space="0"/>
              <w:right w:val="single" w:color="000000" w:sz="8" w:space="0"/>
            </w:tcBorders>
            <w:shd w:val="clear" w:color="auto" w:fill="FFFFFF"/>
            <w:vAlign w:val="center"/>
          </w:tcPr>
          <w:p w14:paraId="01EEEC78">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3.25 </w:t>
            </w:r>
          </w:p>
        </w:tc>
        <w:tc>
          <w:tcPr>
            <w:tcW w:w="1764" w:type="dxa"/>
            <w:tcBorders>
              <w:top w:val="nil"/>
              <w:left w:val="nil"/>
              <w:bottom w:val="single" w:color="000000" w:sz="8" w:space="0"/>
              <w:right w:val="single" w:color="000000" w:sz="12" w:space="0"/>
            </w:tcBorders>
            <w:shd w:val="clear" w:color="auto" w:fill="FFFFFF"/>
            <w:vAlign w:val="center"/>
          </w:tcPr>
          <w:p w14:paraId="17D8D078">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202.67 </w:t>
            </w:r>
          </w:p>
        </w:tc>
      </w:tr>
      <w:tr w14:paraId="7E7898B6">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508FAE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五</w:t>
            </w:r>
          </w:p>
        </w:tc>
        <w:tc>
          <w:tcPr>
            <w:tcW w:w="2530" w:type="dxa"/>
            <w:tcBorders>
              <w:top w:val="nil"/>
              <w:left w:val="nil"/>
              <w:bottom w:val="single" w:color="000000" w:sz="8" w:space="0"/>
              <w:right w:val="single" w:color="000000" w:sz="8" w:space="0"/>
            </w:tcBorders>
            <w:shd w:val="clear" w:color="auto" w:fill="FFFFFF"/>
            <w:vAlign w:val="center"/>
          </w:tcPr>
          <w:p w14:paraId="7ACB44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未计价材料费</w:t>
            </w:r>
          </w:p>
        </w:tc>
        <w:tc>
          <w:tcPr>
            <w:tcW w:w="1272" w:type="dxa"/>
            <w:tcBorders>
              <w:top w:val="nil"/>
              <w:left w:val="nil"/>
              <w:bottom w:val="single" w:color="000000" w:sz="8" w:space="0"/>
              <w:right w:val="single" w:color="000000" w:sz="8" w:space="0"/>
            </w:tcBorders>
            <w:shd w:val="clear" w:color="auto" w:fill="FFFFFF"/>
            <w:vAlign w:val="center"/>
          </w:tcPr>
          <w:p w14:paraId="32C1A7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3573B4A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0B175A12">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52EB463D">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721BB0A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3A754C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六</w:t>
            </w:r>
          </w:p>
        </w:tc>
        <w:tc>
          <w:tcPr>
            <w:tcW w:w="2530" w:type="dxa"/>
            <w:tcBorders>
              <w:top w:val="nil"/>
              <w:left w:val="nil"/>
              <w:bottom w:val="single" w:color="000000" w:sz="8" w:space="0"/>
              <w:right w:val="single" w:color="000000" w:sz="8" w:space="0"/>
            </w:tcBorders>
            <w:shd w:val="clear" w:color="auto" w:fill="FFFFFF"/>
            <w:vAlign w:val="center"/>
          </w:tcPr>
          <w:p w14:paraId="4BE7B8D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272" w:type="dxa"/>
            <w:tcBorders>
              <w:top w:val="nil"/>
              <w:left w:val="nil"/>
              <w:bottom w:val="single" w:color="000000" w:sz="8" w:space="0"/>
              <w:right w:val="single" w:color="000000" w:sz="8" w:space="0"/>
            </w:tcBorders>
            <w:shd w:val="clear" w:color="auto" w:fill="FFFFFF"/>
            <w:vAlign w:val="center"/>
          </w:tcPr>
          <w:p w14:paraId="0E1AF76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bottom"/>
          </w:tcPr>
          <w:p w14:paraId="1AF27E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w:t>
            </w:r>
          </w:p>
        </w:tc>
        <w:tc>
          <w:tcPr>
            <w:tcW w:w="1170" w:type="dxa"/>
            <w:tcBorders>
              <w:top w:val="nil"/>
              <w:left w:val="nil"/>
              <w:bottom w:val="single" w:color="000000" w:sz="8" w:space="0"/>
              <w:right w:val="single" w:color="000000" w:sz="8" w:space="0"/>
            </w:tcBorders>
            <w:shd w:val="clear" w:color="auto" w:fill="FFFFFF"/>
            <w:vAlign w:val="bottom"/>
          </w:tcPr>
          <w:p w14:paraId="014A6993">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1105.04 </w:t>
            </w:r>
          </w:p>
        </w:tc>
        <w:tc>
          <w:tcPr>
            <w:tcW w:w="1764" w:type="dxa"/>
            <w:tcBorders>
              <w:top w:val="nil"/>
              <w:left w:val="nil"/>
              <w:bottom w:val="single" w:color="000000" w:sz="8" w:space="0"/>
              <w:right w:val="single" w:color="000000" w:sz="12" w:space="0"/>
            </w:tcBorders>
            <w:shd w:val="clear" w:color="auto" w:fill="FFFFFF"/>
            <w:vAlign w:val="center"/>
          </w:tcPr>
          <w:p w14:paraId="3D47E85B">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99.45 </w:t>
            </w:r>
          </w:p>
        </w:tc>
      </w:tr>
      <w:tr w14:paraId="0AAC6CEA">
        <w:tblPrEx>
          <w:tblCellMar>
            <w:top w:w="11" w:type="dxa"/>
            <w:left w:w="11" w:type="dxa"/>
            <w:bottom w:w="11" w:type="dxa"/>
            <w:right w:w="11" w:type="dxa"/>
          </w:tblCellMar>
        </w:tblPrEx>
        <w:trPr>
          <w:trHeight w:val="20" w:hRule="atLeast"/>
          <w:jc w:val="center"/>
        </w:trPr>
        <w:tc>
          <w:tcPr>
            <w:tcW w:w="1200" w:type="dxa"/>
            <w:tcBorders>
              <w:top w:val="single" w:color="000000" w:sz="8" w:space="0"/>
              <w:left w:val="single" w:color="000000" w:sz="12" w:space="0"/>
              <w:bottom w:val="single" w:color="000000" w:sz="12" w:space="0"/>
              <w:right w:val="single" w:color="auto" w:sz="4" w:space="0"/>
            </w:tcBorders>
            <w:shd w:val="clear" w:color="auto" w:fill="FFFFFF"/>
            <w:vAlign w:val="center"/>
          </w:tcPr>
          <w:p w14:paraId="6B9C1FD6">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2530" w:type="dxa"/>
            <w:tcBorders>
              <w:top w:val="single" w:color="000000" w:sz="8" w:space="0"/>
              <w:left w:val="single" w:color="auto" w:sz="4" w:space="0"/>
              <w:bottom w:val="single" w:color="000000" w:sz="12" w:space="0"/>
              <w:right w:val="single" w:color="000000" w:sz="8" w:space="0"/>
            </w:tcBorders>
            <w:shd w:val="clear" w:color="auto" w:fill="FFFFFF"/>
            <w:vAlign w:val="center"/>
          </w:tcPr>
          <w:p w14:paraId="20F21282">
            <w:pPr>
              <w:topLinePunct/>
              <w:snapToGrid w:val="0"/>
              <w:spacing w:line="240" w:lineRule="auto"/>
              <w:jc w:val="center"/>
              <w:rPr>
                <w:rFonts w:hint="default" w:ascii="Times New Roman" w:hAnsi="Times New Roman" w:cs="Times New Roman"/>
                <w:color w:val="000000" w:themeColor="text1"/>
                <w:kern w:val="0"/>
                <w:sz w:val="24"/>
                <w:szCs w:val="24"/>
              </w:rPr>
            </w:pPr>
          </w:p>
        </w:tc>
        <w:tc>
          <w:tcPr>
            <w:tcW w:w="1272" w:type="dxa"/>
            <w:tcBorders>
              <w:top w:val="nil"/>
              <w:left w:val="nil"/>
              <w:bottom w:val="single" w:color="000000" w:sz="12" w:space="0"/>
              <w:right w:val="single" w:color="000000" w:sz="8" w:space="0"/>
            </w:tcBorders>
            <w:shd w:val="clear" w:color="auto" w:fill="FFFFFF"/>
            <w:vAlign w:val="center"/>
          </w:tcPr>
          <w:p w14:paraId="69FF2B53">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64" w:type="dxa"/>
            <w:tcBorders>
              <w:top w:val="nil"/>
              <w:left w:val="nil"/>
              <w:bottom w:val="single" w:color="000000" w:sz="12" w:space="0"/>
              <w:right w:val="single" w:color="000000" w:sz="8" w:space="0"/>
            </w:tcBorders>
            <w:shd w:val="clear" w:color="auto" w:fill="FFFFFF"/>
            <w:vAlign w:val="center"/>
          </w:tcPr>
          <w:p w14:paraId="527DC4AF">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70" w:type="dxa"/>
            <w:tcBorders>
              <w:top w:val="nil"/>
              <w:left w:val="nil"/>
              <w:bottom w:val="single" w:color="000000" w:sz="12" w:space="0"/>
              <w:right w:val="single" w:color="000000" w:sz="8" w:space="0"/>
            </w:tcBorders>
            <w:shd w:val="clear" w:color="auto" w:fill="FFFFFF"/>
            <w:vAlign w:val="center"/>
          </w:tcPr>
          <w:p w14:paraId="4AEFA19D">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764" w:type="dxa"/>
            <w:tcBorders>
              <w:top w:val="nil"/>
              <w:left w:val="nil"/>
              <w:bottom w:val="single" w:color="000000" w:sz="12" w:space="0"/>
              <w:right w:val="single" w:color="000000" w:sz="12" w:space="0"/>
            </w:tcBorders>
            <w:shd w:val="clear" w:color="auto" w:fill="FFFFFF"/>
            <w:vAlign w:val="center"/>
          </w:tcPr>
          <w:p w14:paraId="3438853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1204.49</w:t>
            </w:r>
          </w:p>
        </w:tc>
      </w:tr>
    </w:tbl>
    <w:p w14:paraId="4C39AC32">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表6-2</w:t>
      </w:r>
      <w:r>
        <w:rPr>
          <w:rFonts w:hint="eastAsia" w:ascii="Times New Roman" w:hAnsi="Times New Roman" w:cs="Times New Roman"/>
          <w:b/>
          <w:color w:val="000000" w:themeColor="text1"/>
          <w:sz w:val="24"/>
          <w:szCs w:val="24"/>
          <w:lang w:val="en-US" w:eastAsia="zh-CN"/>
        </w:rPr>
        <w:t>1</w:t>
      </w:r>
      <w:r>
        <w:rPr>
          <w:rFonts w:ascii="Times New Roman" w:hAnsi="Times New Roman" w:cs="Times New Roman"/>
          <w:b/>
          <w:color w:val="000000" w:themeColor="text1"/>
          <w:sz w:val="24"/>
          <w:szCs w:val="24"/>
        </w:rPr>
        <w:t xml:space="preserve"> 机械台班费计算表</w:t>
      </w:r>
    </w:p>
    <w:tbl>
      <w:tblPr>
        <w:tblStyle w:val="42"/>
        <w:tblW w:w="5012"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688"/>
        <w:gridCol w:w="1436"/>
        <w:gridCol w:w="816"/>
        <w:gridCol w:w="719"/>
        <w:gridCol w:w="682"/>
        <w:gridCol w:w="683"/>
        <w:gridCol w:w="683"/>
        <w:gridCol w:w="683"/>
        <w:gridCol w:w="683"/>
        <w:gridCol w:w="683"/>
        <w:gridCol w:w="683"/>
        <w:gridCol w:w="683"/>
      </w:tblGrid>
      <w:tr w14:paraId="2829C5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vMerge w:val="restart"/>
            <w:shd w:val="clear" w:color="auto" w:fill="auto"/>
            <w:vAlign w:val="center"/>
          </w:tcPr>
          <w:p w14:paraId="6170CA2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定额编号</w:t>
            </w:r>
          </w:p>
        </w:tc>
        <w:tc>
          <w:tcPr>
            <w:tcW w:w="1436" w:type="dxa"/>
            <w:vMerge w:val="restart"/>
            <w:shd w:val="clear" w:color="auto" w:fill="auto"/>
            <w:vAlign w:val="center"/>
          </w:tcPr>
          <w:p w14:paraId="1104897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机械名称及规格</w:t>
            </w:r>
          </w:p>
        </w:tc>
        <w:tc>
          <w:tcPr>
            <w:tcW w:w="816" w:type="dxa"/>
            <w:vMerge w:val="restart"/>
            <w:shd w:val="clear" w:color="auto" w:fill="auto"/>
            <w:vAlign w:val="center"/>
          </w:tcPr>
          <w:p w14:paraId="510402E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台班费</w:t>
            </w:r>
          </w:p>
        </w:tc>
        <w:tc>
          <w:tcPr>
            <w:tcW w:w="719" w:type="dxa"/>
            <w:vMerge w:val="restart"/>
            <w:shd w:val="clear" w:color="auto" w:fill="auto"/>
            <w:vAlign w:val="center"/>
          </w:tcPr>
          <w:p w14:paraId="7F5723C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一类费用小计</w:t>
            </w:r>
          </w:p>
        </w:tc>
        <w:tc>
          <w:tcPr>
            <w:tcW w:w="5456" w:type="dxa"/>
            <w:gridSpan w:val="8"/>
            <w:shd w:val="clear" w:color="auto" w:fill="auto"/>
            <w:vAlign w:val="center"/>
          </w:tcPr>
          <w:p w14:paraId="7C1ED68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二类费用</w:t>
            </w:r>
          </w:p>
        </w:tc>
      </w:tr>
      <w:tr w14:paraId="097234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vMerge w:val="continue"/>
            <w:vAlign w:val="center"/>
          </w:tcPr>
          <w:p w14:paraId="4ED12EAB">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436" w:type="dxa"/>
            <w:vMerge w:val="continue"/>
            <w:vAlign w:val="center"/>
          </w:tcPr>
          <w:p w14:paraId="7704D38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816" w:type="dxa"/>
            <w:vMerge w:val="continue"/>
            <w:vAlign w:val="center"/>
          </w:tcPr>
          <w:p w14:paraId="642329E9">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719" w:type="dxa"/>
            <w:vMerge w:val="continue"/>
            <w:vAlign w:val="center"/>
          </w:tcPr>
          <w:p w14:paraId="4629ACE5">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682" w:type="dxa"/>
            <w:vMerge w:val="restart"/>
            <w:shd w:val="clear" w:color="auto" w:fill="auto"/>
            <w:vAlign w:val="center"/>
          </w:tcPr>
          <w:p w14:paraId="1771CC0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二类费合计</w:t>
            </w:r>
          </w:p>
        </w:tc>
        <w:tc>
          <w:tcPr>
            <w:tcW w:w="1364" w:type="dxa"/>
            <w:gridSpan w:val="2"/>
            <w:shd w:val="clear" w:color="auto" w:fill="auto"/>
            <w:vAlign w:val="center"/>
          </w:tcPr>
          <w:p w14:paraId="5E16A05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人工费（元/日）</w:t>
            </w:r>
          </w:p>
        </w:tc>
        <w:tc>
          <w:tcPr>
            <w:tcW w:w="682" w:type="dxa"/>
            <w:vMerge w:val="restart"/>
            <w:shd w:val="clear" w:color="auto" w:fill="auto"/>
            <w:vAlign w:val="center"/>
          </w:tcPr>
          <w:p w14:paraId="602C3E3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动力燃料费小计</w:t>
            </w:r>
          </w:p>
        </w:tc>
        <w:tc>
          <w:tcPr>
            <w:tcW w:w="1364" w:type="dxa"/>
            <w:gridSpan w:val="2"/>
            <w:shd w:val="clear" w:color="auto" w:fill="auto"/>
            <w:vAlign w:val="center"/>
          </w:tcPr>
          <w:p w14:paraId="7F30B91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汽油</w:t>
            </w:r>
            <w:r>
              <w:rPr>
                <w:rFonts w:ascii="Times New Roman" w:hAnsi="Times New Roman" w:cs="Times New Roman"/>
                <w:color w:val="000000" w:themeColor="text1"/>
                <w:kern w:val="0"/>
                <w:sz w:val="24"/>
                <w:szCs w:val="24"/>
              </w:rPr>
              <w:br w:type="textWrapping"/>
            </w:r>
            <w:r>
              <w:rPr>
                <w:rFonts w:ascii="Times New Roman" w:hAnsi="Times New Roman" w:cs="Times New Roman"/>
                <w:color w:val="000000" w:themeColor="text1"/>
                <w:kern w:val="0"/>
                <w:sz w:val="24"/>
                <w:szCs w:val="24"/>
              </w:rPr>
              <w:t>（元/kg）</w:t>
            </w:r>
          </w:p>
        </w:tc>
        <w:tc>
          <w:tcPr>
            <w:tcW w:w="1364" w:type="dxa"/>
            <w:gridSpan w:val="2"/>
            <w:shd w:val="clear" w:color="auto" w:fill="auto"/>
            <w:vAlign w:val="center"/>
          </w:tcPr>
          <w:p w14:paraId="40D8F55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柴油</w:t>
            </w:r>
            <w:r>
              <w:rPr>
                <w:rFonts w:ascii="Times New Roman" w:hAnsi="Times New Roman" w:cs="Times New Roman"/>
                <w:color w:val="000000" w:themeColor="text1"/>
                <w:kern w:val="0"/>
                <w:sz w:val="24"/>
                <w:szCs w:val="24"/>
              </w:rPr>
              <w:br w:type="textWrapping"/>
            </w:r>
            <w:r>
              <w:rPr>
                <w:rFonts w:ascii="Times New Roman" w:hAnsi="Times New Roman" w:cs="Times New Roman"/>
                <w:color w:val="000000" w:themeColor="text1"/>
                <w:kern w:val="0"/>
                <w:sz w:val="24"/>
                <w:szCs w:val="24"/>
              </w:rPr>
              <w:t>（元/kg）</w:t>
            </w:r>
          </w:p>
        </w:tc>
      </w:tr>
      <w:tr w14:paraId="408FCE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vMerge w:val="continue"/>
            <w:vAlign w:val="center"/>
          </w:tcPr>
          <w:p w14:paraId="12403648">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1436" w:type="dxa"/>
            <w:vMerge w:val="continue"/>
            <w:vAlign w:val="center"/>
          </w:tcPr>
          <w:p w14:paraId="3921F92D">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816" w:type="dxa"/>
            <w:vMerge w:val="continue"/>
            <w:vAlign w:val="center"/>
          </w:tcPr>
          <w:p w14:paraId="10588F0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719" w:type="dxa"/>
            <w:vMerge w:val="continue"/>
            <w:vAlign w:val="center"/>
          </w:tcPr>
          <w:p w14:paraId="37199E1C">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682" w:type="dxa"/>
            <w:vMerge w:val="continue"/>
            <w:shd w:val="clear" w:color="auto" w:fill="auto"/>
            <w:vAlign w:val="center"/>
          </w:tcPr>
          <w:p w14:paraId="0CD8BBB0">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682" w:type="dxa"/>
            <w:shd w:val="clear" w:color="auto" w:fill="auto"/>
            <w:vAlign w:val="center"/>
          </w:tcPr>
          <w:p w14:paraId="0EBA89C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工日</w:t>
            </w:r>
          </w:p>
        </w:tc>
        <w:tc>
          <w:tcPr>
            <w:tcW w:w="682" w:type="dxa"/>
            <w:shd w:val="clear" w:color="auto" w:fill="auto"/>
            <w:vAlign w:val="center"/>
          </w:tcPr>
          <w:p w14:paraId="065C18B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金额</w:t>
            </w:r>
          </w:p>
        </w:tc>
        <w:tc>
          <w:tcPr>
            <w:tcW w:w="682" w:type="dxa"/>
            <w:vMerge w:val="continue"/>
            <w:shd w:val="clear" w:color="auto" w:fill="auto"/>
            <w:vAlign w:val="center"/>
          </w:tcPr>
          <w:p w14:paraId="6EFD55E3">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682" w:type="dxa"/>
            <w:shd w:val="clear" w:color="auto" w:fill="auto"/>
            <w:vAlign w:val="center"/>
          </w:tcPr>
          <w:p w14:paraId="4D41B89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数量</w:t>
            </w:r>
          </w:p>
        </w:tc>
        <w:tc>
          <w:tcPr>
            <w:tcW w:w="682" w:type="dxa"/>
            <w:shd w:val="clear" w:color="auto" w:fill="auto"/>
            <w:vAlign w:val="center"/>
          </w:tcPr>
          <w:p w14:paraId="0E948CC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金额</w:t>
            </w:r>
          </w:p>
        </w:tc>
        <w:tc>
          <w:tcPr>
            <w:tcW w:w="682" w:type="dxa"/>
            <w:shd w:val="clear" w:color="auto" w:fill="auto"/>
            <w:vAlign w:val="center"/>
          </w:tcPr>
          <w:p w14:paraId="6D1085BF">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数量</w:t>
            </w:r>
          </w:p>
        </w:tc>
        <w:tc>
          <w:tcPr>
            <w:tcW w:w="682" w:type="dxa"/>
            <w:shd w:val="clear" w:color="auto" w:fill="auto"/>
            <w:vAlign w:val="center"/>
          </w:tcPr>
          <w:p w14:paraId="269CA45A">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金额</w:t>
            </w:r>
          </w:p>
        </w:tc>
      </w:tr>
      <w:tr w14:paraId="0A6F0EE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shd w:val="clear" w:color="auto" w:fill="FFFFFF"/>
            <w:vAlign w:val="center"/>
          </w:tcPr>
          <w:p w14:paraId="2196276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1004</w:t>
            </w:r>
          </w:p>
        </w:tc>
        <w:tc>
          <w:tcPr>
            <w:tcW w:w="1436" w:type="dxa"/>
            <w:shd w:val="clear" w:color="auto" w:fill="FFFFFF"/>
            <w:vAlign w:val="center"/>
          </w:tcPr>
          <w:p w14:paraId="72B8CFDD">
            <w:pPr>
              <w:widowControl/>
              <w:topLinePunct/>
              <w:snapToGrid w:val="0"/>
              <w:spacing w:line="240" w:lineRule="auto"/>
              <w:jc w:val="center"/>
              <w:rPr>
                <w:rFonts w:hint="eastAsia" w:ascii="Times New Roman" w:hAnsi="Times New Roman" w:eastAsia="宋体" w:cs="Times New Roman"/>
                <w:color w:val="000000" w:themeColor="text1"/>
                <w:kern w:val="0"/>
                <w:sz w:val="24"/>
                <w:szCs w:val="24"/>
                <w:lang w:eastAsia="zh-CN"/>
              </w:rPr>
            </w:pPr>
            <w:r>
              <w:rPr>
                <w:rFonts w:ascii="Times New Roman" w:hAnsi="Times New Roman" w:cs="Times New Roman"/>
                <w:color w:val="000000" w:themeColor="text1"/>
                <w:kern w:val="0"/>
                <w:sz w:val="24"/>
                <w:szCs w:val="24"/>
              </w:rPr>
              <w:t>挖掘机油动 1</w:t>
            </w:r>
            <w:r>
              <w:rPr>
                <w:rFonts w:hint="eastAsia" w:ascii="Times New Roman" w:hAnsi="Times New Roman" w:cs="Times New Roman"/>
                <w:color w:val="000000" w:themeColor="text1"/>
                <w:kern w:val="0"/>
                <w:sz w:val="24"/>
                <w:szCs w:val="24"/>
                <w:lang w:eastAsia="zh-CN"/>
              </w:rPr>
              <w:t>m</w:t>
            </w:r>
            <w:r>
              <w:rPr>
                <w:rFonts w:hint="eastAsia" w:ascii="Times New Roman" w:hAnsi="Times New Roman" w:cs="Times New Roman"/>
                <w:strike w:val="0"/>
                <w:dstrike w:val="0"/>
                <w:color w:val="000000" w:themeColor="text1"/>
                <w:kern w:val="0"/>
                <w:sz w:val="24"/>
                <w:szCs w:val="24"/>
                <w:vertAlign w:val="superscript"/>
                <w:lang w:eastAsia="zh-CN"/>
              </w:rPr>
              <w:t>3</w:t>
            </w:r>
          </w:p>
        </w:tc>
        <w:tc>
          <w:tcPr>
            <w:tcW w:w="816" w:type="dxa"/>
            <w:shd w:val="clear" w:color="auto" w:fill="FFFFFF"/>
            <w:vAlign w:val="center"/>
          </w:tcPr>
          <w:p w14:paraId="5A238015">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776.49 </w:t>
            </w:r>
          </w:p>
        </w:tc>
        <w:tc>
          <w:tcPr>
            <w:tcW w:w="719" w:type="dxa"/>
            <w:shd w:val="clear" w:color="auto" w:fill="FFFFFF"/>
            <w:vAlign w:val="center"/>
          </w:tcPr>
          <w:p w14:paraId="56977D41">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336.41 </w:t>
            </w:r>
          </w:p>
        </w:tc>
        <w:tc>
          <w:tcPr>
            <w:tcW w:w="682" w:type="dxa"/>
            <w:shd w:val="clear" w:color="auto" w:fill="FFFFFF"/>
            <w:vAlign w:val="center"/>
          </w:tcPr>
          <w:p w14:paraId="6574327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440.08 </w:t>
            </w:r>
          </w:p>
        </w:tc>
        <w:tc>
          <w:tcPr>
            <w:tcW w:w="682" w:type="dxa"/>
            <w:shd w:val="clear" w:color="auto" w:fill="FFFFFF"/>
            <w:vAlign w:val="center"/>
          </w:tcPr>
          <w:p w14:paraId="305E92E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2.00 </w:t>
            </w:r>
          </w:p>
        </w:tc>
        <w:tc>
          <w:tcPr>
            <w:tcW w:w="682" w:type="dxa"/>
            <w:shd w:val="clear" w:color="auto" w:fill="FFFFFF"/>
            <w:vAlign w:val="center"/>
          </w:tcPr>
          <w:p w14:paraId="7A0B1A1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116.08</w:t>
            </w:r>
          </w:p>
        </w:tc>
        <w:tc>
          <w:tcPr>
            <w:tcW w:w="682" w:type="dxa"/>
            <w:shd w:val="clear" w:color="auto" w:fill="FFFFFF"/>
            <w:vAlign w:val="center"/>
          </w:tcPr>
          <w:p w14:paraId="09CD238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324.00 </w:t>
            </w:r>
          </w:p>
        </w:tc>
        <w:tc>
          <w:tcPr>
            <w:tcW w:w="682" w:type="dxa"/>
            <w:shd w:val="clear" w:color="auto" w:fill="FFFFFF"/>
            <w:vAlign w:val="center"/>
          </w:tcPr>
          <w:p w14:paraId="5F66318F">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682" w:type="dxa"/>
            <w:shd w:val="clear" w:color="auto" w:fill="FFFFFF"/>
            <w:vAlign w:val="center"/>
          </w:tcPr>
          <w:p w14:paraId="7786CD25">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682" w:type="dxa"/>
            <w:shd w:val="clear" w:color="auto" w:fill="FFFFFF"/>
            <w:vAlign w:val="center"/>
          </w:tcPr>
          <w:p w14:paraId="2D880B1A">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72.00 </w:t>
            </w:r>
          </w:p>
        </w:tc>
        <w:tc>
          <w:tcPr>
            <w:tcW w:w="682" w:type="dxa"/>
            <w:shd w:val="clear" w:color="auto" w:fill="FFFFFF"/>
            <w:vAlign w:val="center"/>
          </w:tcPr>
          <w:p w14:paraId="104EAFB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4.50</w:t>
            </w:r>
          </w:p>
        </w:tc>
      </w:tr>
      <w:tr w14:paraId="5F95B0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shd w:val="clear" w:color="auto" w:fill="FFFFFF"/>
            <w:vAlign w:val="center"/>
          </w:tcPr>
          <w:p w14:paraId="33E47A9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1013</w:t>
            </w:r>
          </w:p>
        </w:tc>
        <w:tc>
          <w:tcPr>
            <w:tcW w:w="1436" w:type="dxa"/>
            <w:shd w:val="clear" w:color="auto" w:fill="FFFFFF"/>
            <w:vAlign w:val="center"/>
          </w:tcPr>
          <w:p w14:paraId="192194E7">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推土机59kw</w:t>
            </w:r>
          </w:p>
        </w:tc>
        <w:tc>
          <w:tcPr>
            <w:tcW w:w="816" w:type="dxa"/>
            <w:shd w:val="clear" w:color="auto" w:fill="FFFFFF"/>
            <w:vAlign w:val="center"/>
          </w:tcPr>
          <w:p w14:paraId="68E716A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389.54</w:t>
            </w:r>
          </w:p>
        </w:tc>
        <w:tc>
          <w:tcPr>
            <w:tcW w:w="719" w:type="dxa"/>
            <w:shd w:val="clear" w:color="auto" w:fill="FFFFFF"/>
            <w:vAlign w:val="center"/>
          </w:tcPr>
          <w:p w14:paraId="13CA3A41">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75.46</w:t>
            </w:r>
          </w:p>
        </w:tc>
        <w:tc>
          <w:tcPr>
            <w:tcW w:w="682" w:type="dxa"/>
            <w:shd w:val="clear" w:color="auto" w:fill="FFFFFF"/>
            <w:vAlign w:val="center"/>
          </w:tcPr>
          <w:p w14:paraId="39FFEA55">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314.08</w:t>
            </w:r>
          </w:p>
        </w:tc>
        <w:tc>
          <w:tcPr>
            <w:tcW w:w="682" w:type="dxa"/>
            <w:shd w:val="clear" w:color="auto" w:fill="FFFFFF"/>
            <w:vAlign w:val="center"/>
          </w:tcPr>
          <w:p w14:paraId="2ECB382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2.00</w:t>
            </w:r>
          </w:p>
        </w:tc>
        <w:tc>
          <w:tcPr>
            <w:tcW w:w="682" w:type="dxa"/>
            <w:shd w:val="clear" w:color="auto" w:fill="FFFFFF"/>
            <w:vAlign w:val="center"/>
          </w:tcPr>
          <w:p w14:paraId="0F5EEC77">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58.04 </w:t>
            </w:r>
          </w:p>
        </w:tc>
        <w:tc>
          <w:tcPr>
            <w:tcW w:w="682" w:type="dxa"/>
            <w:shd w:val="clear" w:color="auto" w:fill="FFFFFF"/>
            <w:vAlign w:val="center"/>
          </w:tcPr>
          <w:p w14:paraId="2FC3B8F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198.00</w:t>
            </w:r>
          </w:p>
        </w:tc>
        <w:tc>
          <w:tcPr>
            <w:tcW w:w="682" w:type="dxa"/>
            <w:shd w:val="clear" w:color="auto" w:fill="FFFFFF"/>
            <w:vAlign w:val="center"/>
          </w:tcPr>
          <w:p w14:paraId="73C881DD">
            <w:pPr>
              <w:topLinePunct/>
              <w:snapToGrid w:val="0"/>
              <w:spacing w:line="240" w:lineRule="auto"/>
              <w:jc w:val="center"/>
              <w:rPr>
                <w:rFonts w:ascii="Times New Roman" w:hAnsi="Times New Roman" w:cs="Times New Roman"/>
                <w:color w:val="000000" w:themeColor="text1"/>
                <w:kern w:val="0"/>
                <w:sz w:val="24"/>
                <w:szCs w:val="24"/>
              </w:rPr>
            </w:pPr>
          </w:p>
        </w:tc>
        <w:tc>
          <w:tcPr>
            <w:tcW w:w="682" w:type="dxa"/>
            <w:shd w:val="clear" w:color="auto" w:fill="FFFFFF"/>
            <w:vAlign w:val="center"/>
          </w:tcPr>
          <w:p w14:paraId="5BA9AB2C">
            <w:pPr>
              <w:topLinePunct/>
              <w:snapToGrid w:val="0"/>
              <w:spacing w:line="240" w:lineRule="auto"/>
              <w:jc w:val="center"/>
              <w:rPr>
                <w:rFonts w:ascii="Times New Roman" w:hAnsi="Times New Roman" w:cs="Times New Roman"/>
                <w:color w:val="000000" w:themeColor="text1"/>
                <w:kern w:val="0"/>
                <w:sz w:val="24"/>
                <w:szCs w:val="24"/>
              </w:rPr>
            </w:pPr>
          </w:p>
        </w:tc>
        <w:tc>
          <w:tcPr>
            <w:tcW w:w="682" w:type="dxa"/>
            <w:shd w:val="clear" w:color="auto" w:fill="FFFFFF"/>
            <w:vAlign w:val="center"/>
          </w:tcPr>
          <w:p w14:paraId="072B12FD">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44.00</w:t>
            </w:r>
          </w:p>
        </w:tc>
        <w:tc>
          <w:tcPr>
            <w:tcW w:w="682" w:type="dxa"/>
            <w:shd w:val="clear" w:color="auto" w:fill="FFFFFF"/>
            <w:vAlign w:val="center"/>
          </w:tcPr>
          <w:p w14:paraId="0C333D6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4.50</w:t>
            </w:r>
          </w:p>
        </w:tc>
      </w:tr>
      <w:tr w14:paraId="759F94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shd w:val="clear" w:color="auto" w:fill="FFFFFF"/>
            <w:vAlign w:val="center"/>
          </w:tcPr>
          <w:p w14:paraId="3FF9BF5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1014</w:t>
            </w:r>
          </w:p>
        </w:tc>
        <w:tc>
          <w:tcPr>
            <w:tcW w:w="1436" w:type="dxa"/>
            <w:shd w:val="clear" w:color="auto" w:fill="FFFFFF"/>
            <w:vAlign w:val="center"/>
          </w:tcPr>
          <w:p w14:paraId="32473892">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推土机74kw</w:t>
            </w:r>
          </w:p>
        </w:tc>
        <w:tc>
          <w:tcPr>
            <w:tcW w:w="816" w:type="dxa"/>
            <w:shd w:val="clear" w:color="auto" w:fill="FFFFFF"/>
            <w:vAlign w:val="center"/>
          </w:tcPr>
          <w:p w14:paraId="66CC78F0">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571.07 </w:t>
            </w:r>
          </w:p>
        </w:tc>
        <w:tc>
          <w:tcPr>
            <w:tcW w:w="719" w:type="dxa"/>
            <w:shd w:val="clear" w:color="auto" w:fill="FFFFFF"/>
            <w:vAlign w:val="center"/>
          </w:tcPr>
          <w:p w14:paraId="0780DF4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207.49 </w:t>
            </w:r>
          </w:p>
        </w:tc>
        <w:tc>
          <w:tcPr>
            <w:tcW w:w="682" w:type="dxa"/>
            <w:shd w:val="clear" w:color="auto" w:fill="FFFFFF"/>
            <w:vAlign w:val="center"/>
          </w:tcPr>
          <w:p w14:paraId="2B6E58A3">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363.58 </w:t>
            </w:r>
          </w:p>
        </w:tc>
        <w:tc>
          <w:tcPr>
            <w:tcW w:w="682" w:type="dxa"/>
            <w:shd w:val="clear" w:color="auto" w:fill="FFFFFF"/>
            <w:vAlign w:val="center"/>
          </w:tcPr>
          <w:p w14:paraId="7D1D17D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2.00 </w:t>
            </w:r>
          </w:p>
        </w:tc>
        <w:tc>
          <w:tcPr>
            <w:tcW w:w="682" w:type="dxa"/>
            <w:shd w:val="clear" w:color="auto" w:fill="FFFFFF"/>
            <w:vAlign w:val="center"/>
          </w:tcPr>
          <w:p w14:paraId="0C33EC12">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116.08</w:t>
            </w:r>
          </w:p>
        </w:tc>
        <w:tc>
          <w:tcPr>
            <w:tcW w:w="682" w:type="dxa"/>
            <w:shd w:val="clear" w:color="auto" w:fill="FFFFFF"/>
            <w:vAlign w:val="center"/>
          </w:tcPr>
          <w:p w14:paraId="60B78557">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247.50 </w:t>
            </w:r>
          </w:p>
        </w:tc>
        <w:tc>
          <w:tcPr>
            <w:tcW w:w="682" w:type="dxa"/>
            <w:shd w:val="clear" w:color="auto" w:fill="FFFFFF"/>
            <w:vAlign w:val="center"/>
          </w:tcPr>
          <w:p w14:paraId="284A3BB8">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682" w:type="dxa"/>
            <w:shd w:val="clear" w:color="auto" w:fill="FFFFFF"/>
            <w:vAlign w:val="center"/>
          </w:tcPr>
          <w:p w14:paraId="3890A23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w:t>
            </w:r>
          </w:p>
        </w:tc>
        <w:tc>
          <w:tcPr>
            <w:tcW w:w="682" w:type="dxa"/>
            <w:shd w:val="clear" w:color="auto" w:fill="FFFFFF"/>
            <w:vAlign w:val="center"/>
          </w:tcPr>
          <w:p w14:paraId="3516DC3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55.00 </w:t>
            </w:r>
          </w:p>
        </w:tc>
        <w:tc>
          <w:tcPr>
            <w:tcW w:w="682" w:type="dxa"/>
            <w:shd w:val="clear" w:color="auto" w:fill="FFFFFF"/>
            <w:vAlign w:val="center"/>
          </w:tcPr>
          <w:p w14:paraId="1C6448CA">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4.50</w:t>
            </w:r>
          </w:p>
        </w:tc>
      </w:tr>
      <w:tr w14:paraId="0C05C8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shd w:val="clear" w:color="auto" w:fill="FFFFFF"/>
            <w:vAlign w:val="center"/>
          </w:tcPr>
          <w:p w14:paraId="2354B69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4012</w:t>
            </w:r>
          </w:p>
        </w:tc>
        <w:tc>
          <w:tcPr>
            <w:tcW w:w="1436" w:type="dxa"/>
            <w:shd w:val="clear" w:color="auto" w:fill="FFFFFF"/>
            <w:vAlign w:val="center"/>
          </w:tcPr>
          <w:p w14:paraId="06C535C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自卸汽车8t</w:t>
            </w:r>
          </w:p>
        </w:tc>
        <w:tc>
          <w:tcPr>
            <w:tcW w:w="816" w:type="dxa"/>
            <w:shd w:val="clear" w:color="auto" w:fill="FFFFFF"/>
            <w:vAlign w:val="center"/>
          </w:tcPr>
          <w:p w14:paraId="513892A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534.55</w:t>
            </w:r>
          </w:p>
        </w:tc>
        <w:tc>
          <w:tcPr>
            <w:tcW w:w="719" w:type="dxa"/>
            <w:shd w:val="clear" w:color="auto" w:fill="FFFFFF"/>
            <w:vAlign w:val="center"/>
          </w:tcPr>
          <w:p w14:paraId="3E03173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206.97</w:t>
            </w:r>
          </w:p>
        </w:tc>
        <w:tc>
          <w:tcPr>
            <w:tcW w:w="682" w:type="dxa"/>
            <w:shd w:val="clear" w:color="auto" w:fill="FFFFFF"/>
            <w:vAlign w:val="center"/>
          </w:tcPr>
          <w:p w14:paraId="422E8017">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327.58</w:t>
            </w:r>
          </w:p>
        </w:tc>
        <w:tc>
          <w:tcPr>
            <w:tcW w:w="682" w:type="dxa"/>
            <w:shd w:val="clear" w:color="auto" w:fill="FFFFFF"/>
            <w:vAlign w:val="center"/>
          </w:tcPr>
          <w:p w14:paraId="3D8C782D">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2.00</w:t>
            </w:r>
          </w:p>
        </w:tc>
        <w:tc>
          <w:tcPr>
            <w:tcW w:w="682" w:type="dxa"/>
            <w:shd w:val="clear" w:color="auto" w:fill="FFFFFF"/>
            <w:vAlign w:val="center"/>
          </w:tcPr>
          <w:p w14:paraId="1BC827C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58.04 </w:t>
            </w:r>
          </w:p>
        </w:tc>
        <w:tc>
          <w:tcPr>
            <w:tcW w:w="682" w:type="dxa"/>
            <w:shd w:val="clear" w:color="auto" w:fill="FFFFFF"/>
            <w:vAlign w:val="center"/>
          </w:tcPr>
          <w:p w14:paraId="30A7D50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211.50</w:t>
            </w:r>
          </w:p>
        </w:tc>
        <w:tc>
          <w:tcPr>
            <w:tcW w:w="682" w:type="dxa"/>
            <w:shd w:val="clear" w:color="auto" w:fill="FFFFFF"/>
            <w:vAlign w:val="center"/>
          </w:tcPr>
          <w:p w14:paraId="78660434">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682" w:type="dxa"/>
            <w:shd w:val="clear" w:color="auto" w:fill="FFFFFF"/>
            <w:vAlign w:val="center"/>
          </w:tcPr>
          <w:p w14:paraId="1FE8572E">
            <w:pPr>
              <w:widowControl/>
              <w:topLinePunct/>
              <w:snapToGrid w:val="0"/>
              <w:spacing w:line="240" w:lineRule="auto"/>
              <w:jc w:val="center"/>
              <w:rPr>
                <w:rFonts w:ascii="Times New Roman" w:hAnsi="Times New Roman" w:cs="Times New Roman"/>
                <w:color w:val="000000" w:themeColor="text1"/>
                <w:kern w:val="0"/>
                <w:sz w:val="24"/>
                <w:szCs w:val="24"/>
              </w:rPr>
            </w:pPr>
          </w:p>
        </w:tc>
        <w:tc>
          <w:tcPr>
            <w:tcW w:w="682" w:type="dxa"/>
            <w:shd w:val="clear" w:color="auto" w:fill="FFFFFF"/>
            <w:vAlign w:val="center"/>
          </w:tcPr>
          <w:p w14:paraId="4EE877C3">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47.00</w:t>
            </w:r>
          </w:p>
        </w:tc>
        <w:tc>
          <w:tcPr>
            <w:tcW w:w="682" w:type="dxa"/>
            <w:shd w:val="clear" w:color="auto" w:fill="FFFFFF"/>
            <w:vAlign w:val="center"/>
          </w:tcPr>
          <w:p w14:paraId="3111FB7D">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4.50</w:t>
            </w:r>
          </w:p>
        </w:tc>
      </w:tr>
    </w:tbl>
    <w:p w14:paraId="49226152">
      <w:pPr>
        <w:pStyle w:val="174"/>
        <w:topLinePunct/>
        <w:rPr>
          <w:rFonts w:ascii="Times New Roman" w:hAnsi="Times New Roman" w:cs="Times New Roman"/>
          <w:color w:val="000000" w:themeColor="text1"/>
          <w:sz w:val="28"/>
          <w:szCs w:val="28"/>
        </w:rPr>
      </w:pPr>
      <w:bookmarkStart w:id="40" w:name="_Toc30045"/>
      <w:r>
        <w:rPr>
          <w:rFonts w:ascii="Times New Roman" w:hAnsi="Times New Roman" w:cs="Times New Roman"/>
          <w:color w:val="000000" w:themeColor="text1"/>
          <w:sz w:val="28"/>
          <w:szCs w:val="28"/>
        </w:rPr>
        <w:t>三、阶段工作任务与经费安排</w:t>
      </w:r>
      <w:bookmarkEnd w:id="40"/>
    </w:p>
    <w:p w14:paraId="0E056769">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（一）阶段工作任务</w:t>
      </w:r>
    </w:p>
    <w:p w14:paraId="726420D2">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矿山设计开采服务年限为</w:t>
      </w:r>
      <w:r>
        <w:rPr>
          <w:rFonts w:hint="eastAsia" w:ascii="Times New Roman" w:hAnsi="Times New Roman" w:cs="Times New Roman"/>
          <w:color w:val="000000" w:themeColor="text1"/>
        </w:rPr>
        <w:t>26</w:t>
      </w:r>
      <w:r>
        <w:rPr>
          <w:rFonts w:ascii="Times New Roman" w:hAnsi="Times New Roman" w:cs="Times New Roman"/>
          <w:color w:val="000000" w:themeColor="text1"/>
        </w:rPr>
        <w:t>年，矿区生态修复时间为</w:t>
      </w:r>
      <w:r>
        <w:rPr>
          <w:rFonts w:hint="eastAsia" w:ascii="Times New Roman" w:hAnsi="Times New Roman" w:cs="Times New Roman"/>
          <w:color w:val="000000" w:themeColor="text1"/>
        </w:rPr>
        <w:t>1</w:t>
      </w:r>
      <w:r>
        <w:rPr>
          <w:rFonts w:ascii="Times New Roman" w:hAnsi="Times New Roman" w:cs="Times New Roman"/>
          <w:color w:val="000000" w:themeColor="text1"/>
        </w:rPr>
        <w:t>年，管护时间为3年。根据矿山开发利用方案及矿山实际情况对矿区生态修复进行分期部署，可分为三期：近期、中期和远期。本项目进度安排仅作为矿山企业边生产边治理的参考，露天采场实际开采情况未定，因此，将露天采场治理及植被管护具体费用时统一列入闭矿后。</w:t>
      </w:r>
    </w:p>
    <w:p w14:paraId="743BD470">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1、近期（5年内）实施计划</w:t>
      </w:r>
    </w:p>
    <w:p w14:paraId="6CDED434">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本项目设计开采服务年限为</w:t>
      </w:r>
      <w:r>
        <w:rPr>
          <w:rFonts w:hint="eastAsia" w:ascii="Times New Roman" w:hAnsi="Times New Roman" w:cs="Times New Roman"/>
          <w:color w:val="000000" w:themeColor="text1"/>
        </w:rPr>
        <w:t>26</w:t>
      </w:r>
      <w:r>
        <w:rPr>
          <w:rFonts w:ascii="Times New Roman" w:hAnsi="Times New Roman" w:cs="Times New Roman"/>
          <w:color w:val="000000" w:themeColor="text1"/>
        </w:rPr>
        <w:t>年，近期年度安排工作主要体现在2026年1月-2030年12月，近期内工程主要包括设立警示牌和监测工程，安排如下表（具体以矿山实际运营为准，本设计仅供参考）6-2</w:t>
      </w:r>
      <w:r>
        <w:rPr>
          <w:rFonts w:hint="eastAsia" w:ascii="Times New Roman" w:hAnsi="Times New Roman" w:cs="Times New Roman"/>
          <w:color w:val="000000" w:themeColor="text1"/>
          <w:lang w:val="en-US" w:eastAsia="zh-CN"/>
        </w:rPr>
        <w:t>2</w:t>
      </w:r>
      <w:r>
        <w:rPr>
          <w:rFonts w:ascii="Times New Roman" w:hAnsi="Times New Roman" w:cs="Times New Roman"/>
          <w:color w:val="000000" w:themeColor="text1"/>
        </w:rPr>
        <w:t>：</w:t>
      </w:r>
    </w:p>
    <w:p w14:paraId="554AE2CA">
      <w:pPr>
        <w:tabs>
          <w:tab w:val="left" w:pos="3403"/>
        </w:tabs>
        <w:spacing w:before="28"/>
        <w:ind w:left="2" w:right="44"/>
        <w:jc w:val="center"/>
        <w:rPr>
          <w:rFonts w:ascii="Times New Roman" w:hAnsi="Times New Roman" w:cs="Times New Roman"/>
          <w:color w:val="000000" w:themeColor="text1"/>
        </w:rPr>
      </w:pPr>
      <w:r>
        <w:rPr>
          <w:rFonts w:ascii="Times New Roman" w:hAnsi="Times New Roman" w:cs="Times New Roman"/>
          <w:b/>
          <w:color w:val="000000" w:themeColor="text1"/>
          <w:sz w:val="24"/>
          <w:szCs w:val="24"/>
        </w:rPr>
        <w:t>表6-2</w:t>
      </w:r>
      <w:r>
        <w:rPr>
          <w:rFonts w:hint="eastAsia" w:ascii="Times New Roman" w:hAnsi="Times New Roman" w:cs="Times New Roman"/>
          <w:b/>
          <w:color w:val="000000" w:themeColor="text1"/>
          <w:sz w:val="24"/>
          <w:szCs w:val="24"/>
          <w:lang w:val="en-US" w:eastAsia="zh-CN"/>
        </w:rPr>
        <w:t>2</w:t>
      </w:r>
      <w:r>
        <w:rPr>
          <w:rFonts w:ascii="Times New Roman" w:hAnsi="Times New Roman" w:cs="Times New Roman"/>
          <w:b/>
          <w:color w:val="000000" w:themeColor="text1"/>
          <w:sz w:val="24"/>
          <w:szCs w:val="24"/>
        </w:rPr>
        <w:t xml:space="preserve"> 近期（5年内）实施计划阶段工作计划安排表</w:t>
      </w:r>
    </w:p>
    <w:tbl>
      <w:tblPr>
        <w:tblStyle w:val="185"/>
        <w:tblW w:w="502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729"/>
        <w:gridCol w:w="1421"/>
        <w:gridCol w:w="6986"/>
      </w:tblGrid>
      <w:tr w14:paraId="2282765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8" w:type="dxa"/>
            <w:vAlign w:val="center"/>
          </w:tcPr>
          <w:p w14:paraId="3426E22D">
            <w:pPr>
              <w:widowControl/>
              <w:adjustRightInd w:val="0"/>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阶段</w:t>
            </w:r>
          </w:p>
        </w:tc>
        <w:tc>
          <w:tcPr>
            <w:tcW w:w="1420" w:type="dxa"/>
            <w:vAlign w:val="center"/>
          </w:tcPr>
          <w:p w14:paraId="6DBBA4C9">
            <w:pPr>
              <w:widowControl/>
              <w:adjustRightInd w:val="0"/>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年度（年）</w:t>
            </w:r>
          </w:p>
        </w:tc>
        <w:tc>
          <w:tcPr>
            <w:tcW w:w="6981" w:type="dxa"/>
            <w:vAlign w:val="center"/>
          </w:tcPr>
          <w:p w14:paraId="53338713">
            <w:pPr>
              <w:widowControl/>
              <w:adjustRightInd w:val="0"/>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近期修复工作安排工程措施</w:t>
            </w:r>
          </w:p>
        </w:tc>
      </w:tr>
      <w:tr w14:paraId="5B9CF98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8" w:type="dxa"/>
            <w:vMerge w:val="restart"/>
            <w:vAlign w:val="center"/>
          </w:tcPr>
          <w:p w14:paraId="69B00E2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近期</w:t>
            </w:r>
          </w:p>
        </w:tc>
        <w:tc>
          <w:tcPr>
            <w:tcW w:w="1420" w:type="dxa"/>
            <w:vAlign w:val="center"/>
          </w:tcPr>
          <w:p w14:paraId="68392532">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2026年</w:t>
            </w:r>
          </w:p>
        </w:tc>
        <w:tc>
          <w:tcPr>
            <w:tcW w:w="6981" w:type="dxa"/>
            <w:vAlign w:val="center"/>
          </w:tcPr>
          <w:p w14:paraId="1D5A0B34">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表土剥离</w:t>
            </w:r>
            <w:r>
              <w:rPr>
                <w:rFonts w:hint="eastAsia" w:ascii="Times New Roman" w:hAnsi="Times New Roman" w:cs="Times New Roman" w:eastAsiaTheme="minorEastAsia"/>
                <w:color w:val="000000" w:themeColor="text1"/>
                <w:kern w:val="0"/>
                <w:sz w:val="24"/>
                <w:szCs w:val="24"/>
                <w:lang w:eastAsia="zh-CN"/>
              </w:rPr>
              <w:t>2700m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r>
              <w:rPr>
                <w:rFonts w:ascii="Times New Roman" w:hAnsi="Times New Roman" w:cs="Times New Roman" w:eastAsiaTheme="minorEastAsia"/>
                <w:color w:val="000000" w:themeColor="text1"/>
                <w:kern w:val="0"/>
                <w:sz w:val="24"/>
                <w:szCs w:val="24"/>
                <w:lang w:eastAsia="zh-CN"/>
              </w:rPr>
              <w:t>、撒播种草</w:t>
            </w:r>
            <w:r>
              <w:rPr>
                <w:rFonts w:hint="eastAsia" w:ascii="Times New Roman" w:hAnsi="Times New Roman" w:cs="Times New Roman" w:eastAsiaTheme="minorEastAsia"/>
                <w:color w:val="000000" w:themeColor="text1"/>
                <w:kern w:val="0"/>
                <w:sz w:val="24"/>
                <w:szCs w:val="24"/>
                <w:lang w:eastAsia="zh-CN"/>
              </w:rPr>
              <w:t>0.13</w:t>
            </w:r>
            <w:r>
              <w:rPr>
                <w:rFonts w:ascii="Times New Roman" w:hAnsi="Times New Roman" w:cs="Times New Roman" w:eastAsiaTheme="minorEastAsia"/>
                <w:color w:val="000000" w:themeColor="text1"/>
                <w:kern w:val="0"/>
                <w:sz w:val="24"/>
                <w:szCs w:val="24"/>
                <w:lang w:eastAsia="zh-CN"/>
              </w:rPr>
              <w:t>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r>
              <w:rPr>
                <w:rFonts w:ascii="Times New Roman" w:hAnsi="Times New Roman" w:cs="Times New Roman" w:eastAsiaTheme="minorEastAsia"/>
                <w:color w:val="000000" w:themeColor="text1"/>
                <w:kern w:val="0"/>
                <w:sz w:val="24"/>
                <w:szCs w:val="24"/>
                <w:lang w:eastAsia="zh-CN"/>
              </w:rPr>
              <w:t>、石笼挡墙土方开挖</w:t>
            </w:r>
            <w:r>
              <w:rPr>
                <w:rFonts w:hint="eastAsia" w:ascii="Times New Roman" w:hAnsi="Times New Roman" w:cs="Times New Roman" w:eastAsiaTheme="minorEastAsia"/>
                <w:color w:val="000000" w:themeColor="text1"/>
                <w:kern w:val="0"/>
                <w:sz w:val="24"/>
                <w:szCs w:val="24"/>
                <w:lang w:eastAsia="zh-CN"/>
              </w:rPr>
              <w:t>105m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r>
              <w:rPr>
                <w:rFonts w:ascii="Times New Roman" w:hAnsi="Times New Roman" w:cs="Times New Roman" w:eastAsiaTheme="minorEastAsia"/>
                <w:color w:val="000000" w:themeColor="text1"/>
                <w:kern w:val="0"/>
                <w:sz w:val="24"/>
                <w:szCs w:val="24"/>
                <w:lang w:eastAsia="zh-CN"/>
              </w:rPr>
              <w:t>、石笼挡墙体积</w:t>
            </w:r>
            <w:r>
              <w:rPr>
                <w:rFonts w:hint="eastAsia" w:ascii="Times New Roman" w:hAnsi="Times New Roman" w:cs="Times New Roman" w:eastAsiaTheme="minorEastAsia"/>
                <w:color w:val="000000" w:themeColor="text1"/>
                <w:kern w:val="0"/>
                <w:sz w:val="24"/>
                <w:szCs w:val="24"/>
                <w:lang w:eastAsia="zh-CN"/>
              </w:rPr>
              <w:t>455m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r>
              <w:rPr>
                <w:rFonts w:ascii="Times New Roman" w:hAnsi="Times New Roman" w:cs="Times New Roman" w:eastAsiaTheme="minorEastAsia"/>
                <w:color w:val="000000" w:themeColor="text1"/>
                <w:kern w:val="0"/>
                <w:sz w:val="24"/>
                <w:szCs w:val="24"/>
                <w:lang w:eastAsia="zh-CN"/>
              </w:rPr>
              <w:t>；</w:t>
            </w:r>
          </w:p>
          <w:p w14:paraId="2B7F5BC2">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设置警示牌13个；</w:t>
            </w:r>
          </w:p>
          <w:p w14:paraId="694CCD68">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57846E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8" w:type="dxa"/>
            <w:vMerge w:val="continue"/>
            <w:vAlign w:val="center"/>
          </w:tcPr>
          <w:p w14:paraId="134F848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20" w:type="dxa"/>
            <w:vAlign w:val="center"/>
          </w:tcPr>
          <w:p w14:paraId="55FC74E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2027年</w:t>
            </w:r>
          </w:p>
        </w:tc>
        <w:tc>
          <w:tcPr>
            <w:tcW w:w="6981" w:type="dxa"/>
            <w:vAlign w:val="center"/>
          </w:tcPr>
          <w:p w14:paraId="458B1F9C">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47A22AD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8" w:type="dxa"/>
            <w:vMerge w:val="continue"/>
            <w:vAlign w:val="center"/>
          </w:tcPr>
          <w:p w14:paraId="0B66581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20" w:type="dxa"/>
            <w:vAlign w:val="center"/>
          </w:tcPr>
          <w:p w14:paraId="609A8BA6">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2028年</w:t>
            </w:r>
          </w:p>
        </w:tc>
        <w:tc>
          <w:tcPr>
            <w:tcW w:w="6981" w:type="dxa"/>
            <w:vAlign w:val="center"/>
          </w:tcPr>
          <w:p w14:paraId="68E62B76">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5816748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8" w:type="dxa"/>
            <w:vMerge w:val="continue"/>
            <w:vAlign w:val="center"/>
          </w:tcPr>
          <w:p w14:paraId="1DD10C32">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20" w:type="dxa"/>
            <w:vAlign w:val="center"/>
          </w:tcPr>
          <w:p w14:paraId="254D65D6">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2029年</w:t>
            </w:r>
          </w:p>
        </w:tc>
        <w:tc>
          <w:tcPr>
            <w:tcW w:w="6981" w:type="dxa"/>
            <w:vAlign w:val="center"/>
          </w:tcPr>
          <w:p w14:paraId="4DBDD499">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55A2188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8" w:type="dxa"/>
            <w:vMerge w:val="continue"/>
            <w:vAlign w:val="center"/>
          </w:tcPr>
          <w:p w14:paraId="76EE6C1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20" w:type="dxa"/>
            <w:shd w:val="clear" w:color="auto" w:fill="auto"/>
            <w:vAlign w:val="center"/>
          </w:tcPr>
          <w:p w14:paraId="7F84DBA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2030年</w:t>
            </w:r>
          </w:p>
        </w:tc>
        <w:tc>
          <w:tcPr>
            <w:tcW w:w="6981" w:type="dxa"/>
            <w:shd w:val="clear" w:color="auto" w:fill="auto"/>
            <w:vAlign w:val="center"/>
          </w:tcPr>
          <w:p w14:paraId="3B71B353">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bl>
    <w:p w14:paraId="52103167">
      <w:pPr>
        <w:pStyle w:val="178"/>
        <w:topLinePunct/>
        <w:rPr>
          <w:rFonts w:ascii="Times New Roman" w:hAnsi="Times New Roman" w:cs="Times New Roman"/>
          <w:color w:val="000000" w:themeColor="text1"/>
          <w:highlight w:val="yellow"/>
        </w:rPr>
      </w:pPr>
    </w:p>
    <w:p w14:paraId="21FDCB47">
      <w:pPr>
        <w:pStyle w:val="178"/>
        <w:topLinePunct/>
        <w:ind w:firstLine="0" w:firstLineChars="0"/>
        <w:rPr>
          <w:rFonts w:ascii="Times New Roman" w:hAnsi="Times New Roman" w:cs="Times New Roman"/>
          <w:color w:val="000000" w:themeColor="text1"/>
        </w:rPr>
      </w:pPr>
      <w:r>
        <w:rPr>
          <w:rFonts w:ascii="Times New Roman" w:hAnsi="Times New Roman" w:cs="Times New Roman"/>
          <w:color w:val="000000" w:themeColor="text1"/>
        </w:rPr>
        <w:drawing>
          <wp:inline distT="0" distB="0" distL="114300" distR="114300">
            <wp:extent cx="5756910" cy="5760085"/>
            <wp:effectExtent l="0" t="0" r="15240" b="12065"/>
            <wp:docPr id="15" name="图片 15" descr="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77"/>
                    <pic:cNvPicPr>
                      <a:picLocks noChangeAspect="1"/>
                    </pic:cNvPicPr>
                  </pic:nvPicPr>
                  <pic:blipFill>
                    <a:blip r:embed="rId24" cstate="print"/>
                    <a:stretch>
                      <a:fillRect/>
                    </a:stretch>
                  </pic:blipFill>
                  <pic:spPr>
                    <a:xfrm>
                      <a:off x="0" y="0"/>
                      <a:ext cx="5756910" cy="5760085"/>
                    </a:xfrm>
                    <a:prstGeom prst="rect">
                      <a:avLst/>
                    </a:prstGeom>
                  </pic:spPr>
                </pic:pic>
              </a:graphicData>
            </a:graphic>
          </wp:inline>
        </w:drawing>
      </w:r>
    </w:p>
    <w:p w14:paraId="092C9EC4">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图6-1近期生态修复工程部署图</w:t>
      </w:r>
    </w:p>
    <w:p w14:paraId="769D3A05">
      <w:pPr>
        <w:pStyle w:val="178"/>
        <w:topLinePunct/>
        <w:rPr>
          <w:rFonts w:ascii="Times New Roman" w:hAnsi="Times New Roman" w:cs="Times New Roman"/>
          <w:color w:val="000000" w:themeColor="text1"/>
        </w:rPr>
      </w:pPr>
      <w:r>
        <w:rPr>
          <w:rFonts w:ascii="Times New Roman" w:hAnsi="Times New Roman" w:cs="Times New Roman"/>
          <w:color w:val="000000" w:themeColor="text1"/>
        </w:rPr>
        <w:t>2、中期（第6-</w:t>
      </w:r>
      <w:r>
        <w:rPr>
          <w:rFonts w:hint="eastAsia" w:ascii="Times New Roman" w:hAnsi="Times New Roman" w:cs="Times New Roman"/>
          <w:color w:val="000000" w:themeColor="text1"/>
        </w:rPr>
        <w:t>26</w:t>
      </w:r>
      <w:r>
        <w:rPr>
          <w:rFonts w:ascii="Times New Roman" w:hAnsi="Times New Roman" w:cs="Times New Roman"/>
          <w:color w:val="000000" w:themeColor="text1"/>
        </w:rPr>
        <w:t>年）实施计划</w:t>
      </w:r>
    </w:p>
    <w:p w14:paraId="3C8EABF7">
      <w:pPr>
        <w:pStyle w:val="178"/>
        <w:topLinePunct/>
        <w:rPr>
          <w:rFonts w:ascii="Times New Roman" w:hAnsi="Times New Roman" w:cs="Times New Roman"/>
          <w:color w:val="000000" w:themeColor="text1"/>
        </w:rPr>
      </w:pPr>
      <w:r>
        <w:rPr>
          <w:rFonts w:ascii="Times New Roman" w:hAnsi="Times New Roman" w:cs="Times New Roman"/>
          <w:color w:val="000000" w:themeColor="text1"/>
        </w:rPr>
        <w:t>中期年度安排工作主要体现在2031年1月-20</w:t>
      </w:r>
      <w:r>
        <w:rPr>
          <w:rFonts w:hint="eastAsia" w:ascii="Times New Roman" w:hAnsi="Times New Roman" w:cs="Times New Roman"/>
          <w:color w:val="000000" w:themeColor="text1"/>
        </w:rPr>
        <w:t>51</w:t>
      </w:r>
      <w:r>
        <w:rPr>
          <w:rFonts w:ascii="Times New Roman" w:hAnsi="Times New Roman" w:cs="Times New Roman"/>
          <w:color w:val="000000" w:themeColor="text1"/>
        </w:rPr>
        <w:t>年</w:t>
      </w:r>
      <w:r>
        <w:rPr>
          <w:rFonts w:hint="eastAsia" w:ascii="Times New Roman" w:hAnsi="Times New Roman" w:cs="Times New Roman"/>
          <w:color w:val="000000" w:themeColor="text1"/>
        </w:rPr>
        <w:t>12</w:t>
      </w:r>
      <w:r>
        <w:rPr>
          <w:rFonts w:ascii="Times New Roman" w:hAnsi="Times New Roman" w:cs="Times New Roman"/>
          <w:color w:val="000000" w:themeColor="text1"/>
        </w:rPr>
        <w:t>月，中期内工程主要包括监测工程。具体安排如下表6-2</w:t>
      </w:r>
      <w:r>
        <w:rPr>
          <w:rFonts w:hint="eastAsia" w:ascii="Times New Roman" w:hAnsi="Times New Roman" w:cs="Times New Roman"/>
          <w:color w:val="000000" w:themeColor="text1"/>
          <w:lang w:val="en-US" w:eastAsia="zh-CN"/>
        </w:rPr>
        <w:t>3</w:t>
      </w:r>
      <w:r>
        <w:rPr>
          <w:rFonts w:ascii="Times New Roman" w:hAnsi="Times New Roman" w:cs="Times New Roman"/>
          <w:color w:val="000000" w:themeColor="text1"/>
        </w:rPr>
        <w:t>：</w:t>
      </w:r>
    </w:p>
    <w:p w14:paraId="48728A61">
      <w:pPr>
        <w:tabs>
          <w:tab w:val="left" w:pos="3403"/>
        </w:tabs>
        <w:spacing w:before="28"/>
        <w:ind w:left="2" w:right="44"/>
        <w:jc w:val="center"/>
        <w:rPr>
          <w:rFonts w:ascii="Times New Roman" w:hAnsi="Times New Roman" w:cs="Times New Roman"/>
          <w:color w:val="000000" w:themeColor="text1"/>
        </w:rPr>
      </w:pPr>
      <w:r>
        <w:rPr>
          <w:rFonts w:ascii="Times New Roman" w:hAnsi="Times New Roman" w:cs="Times New Roman"/>
          <w:b/>
          <w:color w:val="000000" w:themeColor="text1"/>
          <w:sz w:val="24"/>
          <w:szCs w:val="24"/>
        </w:rPr>
        <w:t>表6-2</w:t>
      </w:r>
      <w:r>
        <w:rPr>
          <w:rFonts w:hint="eastAsia" w:ascii="Times New Roman" w:hAnsi="Times New Roman" w:cs="Times New Roman"/>
          <w:b/>
          <w:color w:val="000000" w:themeColor="text1"/>
          <w:sz w:val="24"/>
          <w:szCs w:val="24"/>
          <w:lang w:val="en-US" w:eastAsia="zh-CN"/>
        </w:rPr>
        <w:t>3 中</w:t>
      </w:r>
      <w:r>
        <w:rPr>
          <w:rFonts w:ascii="Times New Roman" w:hAnsi="Times New Roman" w:cs="Times New Roman"/>
          <w:b/>
          <w:color w:val="000000" w:themeColor="text1"/>
          <w:sz w:val="24"/>
          <w:szCs w:val="24"/>
        </w:rPr>
        <w:t>期（6-</w:t>
      </w:r>
      <w:r>
        <w:rPr>
          <w:rFonts w:hint="eastAsia" w:ascii="Times New Roman" w:hAnsi="Times New Roman" w:cs="Times New Roman"/>
          <w:b/>
          <w:color w:val="000000" w:themeColor="text1"/>
          <w:sz w:val="24"/>
          <w:szCs w:val="24"/>
        </w:rPr>
        <w:t>26</w:t>
      </w:r>
      <w:r>
        <w:rPr>
          <w:rFonts w:ascii="Times New Roman" w:hAnsi="Times New Roman" w:cs="Times New Roman"/>
          <w:b/>
          <w:color w:val="000000" w:themeColor="text1"/>
          <w:sz w:val="24"/>
          <w:szCs w:val="24"/>
        </w:rPr>
        <w:t>年）实施计划阶段工作计划安排表</w:t>
      </w:r>
    </w:p>
    <w:tbl>
      <w:tblPr>
        <w:tblStyle w:val="185"/>
        <w:tblW w:w="5036"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1" w:type="dxa"/>
          <w:left w:w="11" w:type="dxa"/>
          <w:bottom w:w="11" w:type="dxa"/>
          <w:right w:w="11" w:type="dxa"/>
        </w:tblCellMar>
      </w:tblPr>
      <w:tblGrid>
        <w:gridCol w:w="733"/>
        <w:gridCol w:w="1457"/>
        <w:gridCol w:w="6976"/>
      </w:tblGrid>
      <w:tr w14:paraId="058ADC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blHeader/>
        </w:trPr>
        <w:tc>
          <w:tcPr>
            <w:tcW w:w="732" w:type="dxa"/>
            <w:tcBorders>
              <w:tl2br w:val="nil"/>
              <w:tr2bl w:val="nil"/>
            </w:tcBorders>
            <w:vAlign w:val="center"/>
          </w:tcPr>
          <w:p w14:paraId="4FBFBED7">
            <w:pPr>
              <w:widowControl/>
              <w:adjustRightInd w:val="0"/>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阶段</w:t>
            </w:r>
          </w:p>
        </w:tc>
        <w:tc>
          <w:tcPr>
            <w:tcW w:w="1456" w:type="dxa"/>
            <w:tcBorders>
              <w:tl2br w:val="nil"/>
              <w:tr2bl w:val="nil"/>
            </w:tcBorders>
            <w:vAlign w:val="center"/>
          </w:tcPr>
          <w:p w14:paraId="2B0E8485">
            <w:pPr>
              <w:widowControl/>
              <w:adjustRightInd w:val="0"/>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年度（年）</w:t>
            </w:r>
          </w:p>
        </w:tc>
        <w:tc>
          <w:tcPr>
            <w:tcW w:w="6970" w:type="dxa"/>
            <w:tcBorders>
              <w:tl2br w:val="nil"/>
              <w:tr2bl w:val="nil"/>
            </w:tcBorders>
            <w:vAlign w:val="center"/>
          </w:tcPr>
          <w:p w14:paraId="1CE84584">
            <w:pPr>
              <w:widowControl/>
              <w:adjustRightInd w:val="0"/>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近期修复工作安排工程措施</w:t>
            </w:r>
          </w:p>
        </w:tc>
      </w:tr>
      <w:tr w14:paraId="0CFF686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restart"/>
            <w:tcBorders>
              <w:tl2br w:val="nil"/>
              <w:tr2bl w:val="nil"/>
            </w:tcBorders>
            <w:vAlign w:val="center"/>
          </w:tcPr>
          <w:p w14:paraId="0DD5179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远期</w:t>
            </w:r>
          </w:p>
        </w:tc>
        <w:tc>
          <w:tcPr>
            <w:tcW w:w="1456" w:type="dxa"/>
            <w:tcBorders>
              <w:tl2br w:val="nil"/>
              <w:tr2bl w:val="nil"/>
            </w:tcBorders>
            <w:vAlign w:val="center"/>
          </w:tcPr>
          <w:p w14:paraId="753A3120">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2031</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vAlign w:val="center"/>
          </w:tcPr>
          <w:p w14:paraId="77AED60B">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7E467CA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42A8A070">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68E0057F">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2032</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vAlign w:val="center"/>
          </w:tcPr>
          <w:p w14:paraId="4D02BB04">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61769F2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769555AE">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299F7E0D">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2033</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vAlign w:val="center"/>
          </w:tcPr>
          <w:p w14:paraId="507B0BDD">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40E778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457763F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1D4BB87E">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2034</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vAlign w:val="center"/>
          </w:tcPr>
          <w:p w14:paraId="75A08840">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486EC45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046B37D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341A4974">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2035</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vAlign w:val="center"/>
          </w:tcPr>
          <w:p w14:paraId="2581CB22">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0A3089B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70E622B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0C25A20B">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2036</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vAlign w:val="center"/>
          </w:tcPr>
          <w:p w14:paraId="03AA5017">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0F89619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0D6CC83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174FAB74">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2037</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vAlign w:val="center"/>
          </w:tcPr>
          <w:p w14:paraId="78E60208">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72809A9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065FEA9A">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352AA1EE">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2038</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vAlign w:val="center"/>
          </w:tcPr>
          <w:p w14:paraId="33B48DCF">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11F0D33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50291012">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7D71A673">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2039</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shd w:val="clear" w:color="auto" w:fill="auto"/>
            <w:vAlign w:val="center"/>
          </w:tcPr>
          <w:p w14:paraId="4CED6E3E">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4A07806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4E8160E0">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41680FC5">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2040</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shd w:val="clear" w:color="auto" w:fill="auto"/>
            <w:vAlign w:val="center"/>
          </w:tcPr>
          <w:p w14:paraId="3B42D14F">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0D694FE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70E80D9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2BA0D245">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2041</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shd w:val="clear" w:color="auto" w:fill="auto"/>
            <w:vAlign w:val="center"/>
          </w:tcPr>
          <w:p w14:paraId="619E23E8">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7107162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32C32A70">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4546F04B">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2042</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shd w:val="clear" w:color="auto" w:fill="auto"/>
            <w:vAlign w:val="center"/>
          </w:tcPr>
          <w:p w14:paraId="75A4896A">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0A0FEC5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2DF764C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3A656CE9">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2043</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shd w:val="clear" w:color="auto" w:fill="auto"/>
            <w:vAlign w:val="center"/>
          </w:tcPr>
          <w:p w14:paraId="43F44C2A">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110D067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1EB55859">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70A0A385">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2044</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shd w:val="clear" w:color="auto" w:fill="auto"/>
            <w:vAlign w:val="center"/>
          </w:tcPr>
          <w:p w14:paraId="59E4E8C4">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66DF4D4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1CF8616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2CD80186">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2045</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shd w:val="clear" w:color="auto" w:fill="auto"/>
            <w:vAlign w:val="center"/>
          </w:tcPr>
          <w:p w14:paraId="56F1DA62">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7CCB2D3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124D5B1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6238934D">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2046</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shd w:val="clear" w:color="auto" w:fill="auto"/>
            <w:vAlign w:val="center"/>
          </w:tcPr>
          <w:p w14:paraId="30625EE7">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739838D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36F17ED5">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31088C5D">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2047</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shd w:val="clear" w:color="auto" w:fill="auto"/>
            <w:vAlign w:val="center"/>
          </w:tcPr>
          <w:p w14:paraId="3DAF10FB">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4A58DC2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7EC9C0E5">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0AC79EB8">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2048</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shd w:val="clear" w:color="auto" w:fill="auto"/>
            <w:vAlign w:val="center"/>
          </w:tcPr>
          <w:p w14:paraId="024D511F">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344BE26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6EBBF0B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0131159B">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2049</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shd w:val="clear" w:color="auto" w:fill="auto"/>
            <w:vAlign w:val="center"/>
          </w:tcPr>
          <w:p w14:paraId="0BB63FFC">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620C078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04EDE83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5C268B06">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2050</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shd w:val="clear" w:color="auto" w:fill="auto"/>
            <w:vAlign w:val="center"/>
          </w:tcPr>
          <w:p w14:paraId="74AE5501">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r w14:paraId="1F0993C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2" w:type="dxa"/>
            <w:vMerge w:val="continue"/>
            <w:tcBorders>
              <w:tl2br w:val="nil"/>
              <w:tr2bl w:val="nil"/>
            </w:tcBorders>
            <w:vAlign w:val="center"/>
          </w:tcPr>
          <w:p w14:paraId="30EC306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6" w:type="dxa"/>
            <w:tcBorders>
              <w:tl2br w:val="nil"/>
              <w:tr2bl w:val="nil"/>
            </w:tcBorders>
            <w:vAlign w:val="center"/>
          </w:tcPr>
          <w:p w14:paraId="01B7D0C5">
            <w:pPr>
              <w:widowControl/>
              <w:jc w:val="center"/>
              <w:textAlignment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2051</w:t>
            </w:r>
            <w:r>
              <w:rPr>
                <w:rFonts w:hint="eastAsia" w:ascii="宋体" w:hAnsi="宋体" w:cs="宋体" w:eastAsiaTheme="minorEastAsia"/>
                <w:color w:val="000000" w:themeColor="text1"/>
                <w:kern w:val="0"/>
                <w:sz w:val="24"/>
                <w:szCs w:val="24"/>
                <w:lang w:eastAsia="en-US"/>
              </w:rPr>
              <w:t>年</w:t>
            </w:r>
          </w:p>
        </w:tc>
        <w:tc>
          <w:tcPr>
            <w:tcW w:w="6970" w:type="dxa"/>
            <w:tcBorders>
              <w:tl2br w:val="nil"/>
              <w:tr2bl w:val="nil"/>
            </w:tcBorders>
            <w:shd w:val="clear" w:color="auto" w:fill="auto"/>
            <w:vAlign w:val="center"/>
          </w:tcPr>
          <w:p w14:paraId="640025DC">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地质灾害监测48次、地表水监测16次、地形地貌景观监测4次。</w:t>
            </w:r>
          </w:p>
        </w:tc>
      </w:tr>
    </w:tbl>
    <w:p w14:paraId="5E544E1E">
      <w:pPr>
        <w:pStyle w:val="178"/>
        <w:topLinePunct/>
        <w:rPr>
          <w:rFonts w:ascii="Times New Roman" w:hAnsi="Times New Roman" w:cs="Times New Roman"/>
          <w:color w:val="000000" w:themeColor="text1"/>
          <w:highlight w:val="yellow"/>
        </w:rPr>
      </w:pPr>
    </w:p>
    <w:p w14:paraId="347E1B47">
      <w:pPr>
        <w:pStyle w:val="178"/>
        <w:topLinePunct/>
        <w:ind w:firstLine="0" w:firstLineChars="0"/>
        <w:rPr>
          <w:rFonts w:ascii="Times New Roman" w:hAnsi="Times New Roman" w:cs="Times New Roman"/>
          <w:color w:val="000000" w:themeColor="text1"/>
          <w:highlight w:val="yellow"/>
        </w:rPr>
      </w:pPr>
      <w:r>
        <w:rPr>
          <w:rFonts w:ascii="Times New Roman" w:hAnsi="Times New Roman" w:cs="Times New Roman"/>
          <w:color w:val="000000" w:themeColor="text1"/>
        </w:rPr>
        <w:drawing>
          <wp:inline distT="0" distB="0" distL="114300" distR="114300">
            <wp:extent cx="5756910" cy="5760085"/>
            <wp:effectExtent l="0" t="0" r="15240" b="12065"/>
            <wp:docPr id="16" name="图片 16" descr="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77"/>
                    <pic:cNvPicPr>
                      <a:picLocks noChangeAspect="1"/>
                    </pic:cNvPicPr>
                  </pic:nvPicPr>
                  <pic:blipFill>
                    <a:blip r:embed="rId24" cstate="print"/>
                    <a:stretch>
                      <a:fillRect/>
                    </a:stretch>
                  </pic:blipFill>
                  <pic:spPr>
                    <a:xfrm>
                      <a:off x="0" y="0"/>
                      <a:ext cx="5756910" cy="5760085"/>
                    </a:xfrm>
                    <a:prstGeom prst="rect">
                      <a:avLst/>
                    </a:prstGeom>
                  </pic:spPr>
                </pic:pic>
              </a:graphicData>
            </a:graphic>
          </wp:inline>
        </w:drawing>
      </w:r>
    </w:p>
    <w:p w14:paraId="47F72C5A">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图6-2 中期生态修复工程部署图</w:t>
      </w:r>
    </w:p>
    <w:p w14:paraId="43CC8C75">
      <w:pPr>
        <w:pStyle w:val="178"/>
        <w:topLinePunct/>
        <w:rPr>
          <w:rFonts w:ascii="Times New Roman" w:hAnsi="Times New Roman" w:cs="Times New Roman"/>
          <w:color w:val="000000" w:themeColor="text1"/>
        </w:rPr>
      </w:pPr>
      <w:r>
        <w:rPr>
          <w:rFonts w:ascii="Times New Roman" w:hAnsi="Times New Roman" w:cs="Times New Roman"/>
          <w:color w:val="000000" w:themeColor="text1"/>
        </w:rPr>
        <w:t>3、远期（第</w:t>
      </w:r>
      <w:r>
        <w:rPr>
          <w:rFonts w:hint="eastAsia" w:ascii="Times New Roman" w:hAnsi="Times New Roman" w:cs="Times New Roman"/>
          <w:color w:val="000000" w:themeColor="text1"/>
        </w:rPr>
        <w:t>27</w:t>
      </w:r>
      <w:r>
        <w:rPr>
          <w:rFonts w:ascii="Times New Roman" w:hAnsi="Times New Roman" w:cs="Times New Roman"/>
          <w:color w:val="000000" w:themeColor="text1"/>
        </w:rPr>
        <w:t>-</w:t>
      </w:r>
      <w:r>
        <w:rPr>
          <w:rFonts w:hint="eastAsia" w:ascii="Times New Roman" w:hAnsi="Times New Roman" w:cs="Times New Roman"/>
          <w:color w:val="000000" w:themeColor="text1"/>
        </w:rPr>
        <w:t>30</w:t>
      </w:r>
      <w:r>
        <w:rPr>
          <w:rFonts w:ascii="Times New Roman" w:hAnsi="Times New Roman" w:cs="Times New Roman"/>
          <w:color w:val="000000" w:themeColor="text1"/>
        </w:rPr>
        <w:t>年）实施计划</w:t>
      </w:r>
    </w:p>
    <w:p w14:paraId="6806E487">
      <w:pPr>
        <w:pStyle w:val="178"/>
        <w:topLinePunct/>
        <w:rPr>
          <w:rFonts w:ascii="Times New Roman" w:hAnsi="Times New Roman" w:cs="Times New Roman"/>
          <w:color w:val="000000" w:themeColor="text1"/>
        </w:rPr>
      </w:pPr>
      <w:r>
        <w:rPr>
          <w:rFonts w:ascii="Times New Roman" w:hAnsi="Times New Roman" w:cs="Times New Roman"/>
          <w:color w:val="000000" w:themeColor="text1"/>
        </w:rPr>
        <w:t>远期年度安排工作主要体现在20</w:t>
      </w:r>
      <w:r>
        <w:rPr>
          <w:rFonts w:hint="eastAsia" w:ascii="Times New Roman" w:hAnsi="Times New Roman" w:cs="Times New Roman"/>
          <w:color w:val="000000" w:themeColor="text1"/>
        </w:rPr>
        <w:t>52</w:t>
      </w:r>
      <w:r>
        <w:rPr>
          <w:rFonts w:ascii="Times New Roman" w:hAnsi="Times New Roman" w:cs="Times New Roman"/>
          <w:color w:val="000000" w:themeColor="text1"/>
        </w:rPr>
        <w:t>年</w:t>
      </w:r>
      <w:r>
        <w:rPr>
          <w:rFonts w:hint="eastAsia" w:ascii="Times New Roman" w:hAnsi="Times New Roman" w:cs="Times New Roman"/>
          <w:color w:val="000000" w:themeColor="text1"/>
        </w:rPr>
        <w:t>1</w:t>
      </w:r>
      <w:r>
        <w:rPr>
          <w:rFonts w:ascii="Times New Roman" w:hAnsi="Times New Roman" w:cs="Times New Roman"/>
          <w:color w:val="000000" w:themeColor="text1"/>
        </w:rPr>
        <w:t>月-20</w:t>
      </w:r>
      <w:r>
        <w:rPr>
          <w:rFonts w:hint="eastAsia" w:ascii="Times New Roman" w:hAnsi="Times New Roman" w:cs="Times New Roman"/>
          <w:color w:val="000000" w:themeColor="text1"/>
        </w:rPr>
        <w:t>55</w:t>
      </w:r>
      <w:r>
        <w:rPr>
          <w:rFonts w:ascii="Times New Roman" w:hAnsi="Times New Roman" w:cs="Times New Roman"/>
          <w:color w:val="000000" w:themeColor="text1"/>
        </w:rPr>
        <w:t>年12月，远期内工程主要包括排土场拆除石笼挡墙</w:t>
      </w:r>
      <w:r>
        <w:rPr>
          <w:rFonts w:hint="eastAsia" w:ascii="Times New Roman" w:hAnsi="Times New Roman" w:cs="Times New Roman"/>
          <w:color w:val="000000" w:themeColor="text1"/>
        </w:rPr>
        <w:t>、</w:t>
      </w:r>
      <w:r>
        <w:rPr>
          <w:rFonts w:ascii="Times New Roman" w:hAnsi="Times New Roman" w:cs="Times New Roman"/>
          <w:color w:val="000000" w:themeColor="text1"/>
        </w:rPr>
        <w:t>露天采场地面清理平整、表土</w:t>
      </w:r>
      <w:r>
        <w:rPr>
          <w:rFonts w:hint="eastAsia" w:ascii="Times New Roman" w:hAnsi="Times New Roman" w:cs="Times New Roman"/>
          <w:color w:val="000000" w:themeColor="text1"/>
          <w:lang w:val="en-US" w:eastAsia="zh-CN"/>
        </w:rPr>
        <w:t>回覆</w:t>
      </w:r>
      <w:r>
        <w:rPr>
          <w:rFonts w:ascii="Times New Roman" w:hAnsi="Times New Roman" w:cs="Times New Roman"/>
          <w:color w:val="000000" w:themeColor="text1"/>
        </w:rPr>
        <w:t>、栽植乔木、栽植常春藤等工程。土壤质量监测、复垦效果监测和管护。具体安排如下表6-2</w:t>
      </w:r>
      <w:r>
        <w:rPr>
          <w:rFonts w:hint="eastAsia" w:ascii="Times New Roman" w:hAnsi="Times New Roman" w:cs="Times New Roman"/>
          <w:color w:val="000000" w:themeColor="text1"/>
        </w:rPr>
        <w:t>3</w:t>
      </w:r>
      <w:r>
        <w:rPr>
          <w:rFonts w:ascii="Times New Roman" w:hAnsi="Times New Roman" w:cs="Times New Roman"/>
          <w:color w:val="000000" w:themeColor="text1"/>
        </w:rPr>
        <w:t>：</w:t>
      </w:r>
    </w:p>
    <w:p w14:paraId="29509150">
      <w:pPr>
        <w:tabs>
          <w:tab w:val="left" w:pos="3403"/>
        </w:tabs>
        <w:spacing w:before="28"/>
        <w:ind w:left="2" w:right="44"/>
        <w:jc w:val="center"/>
        <w:rPr>
          <w:rFonts w:ascii="Times New Roman" w:hAnsi="Times New Roman" w:cs="Times New Roman"/>
          <w:b/>
          <w:color w:val="000000" w:themeColor="text1"/>
          <w:sz w:val="24"/>
          <w:szCs w:val="24"/>
        </w:rPr>
      </w:pPr>
    </w:p>
    <w:p w14:paraId="0A45F980">
      <w:pPr>
        <w:tabs>
          <w:tab w:val="left" w:pos="3403"/>
        </w:tabs>
        <w:spacing w:before="28"/>
        <w:ind w:left="2" w:right="44"/>
        <w:jc w:val="center"/>
        <w:rPr>
          <w:rFonts w:ascii="Times New Roman" w:hAnsi="Times New Roman" w:cs="Times New Roman"/>
          <w:color w:val="000000" w:themeColor="text1"/>
        </w:rPr>
      </w:pPr>
      <w:r>
        <w:rPr>
          <w:rFonts w:ascii="Times New Roman" w:hAnsi="Times New Roman" w:cs="Times New Roman"/>
          <w:b/>
          <w:color w:val="000000" w:themeColor="text1"/>
          <w:sz w:val="24"/>
          <w:szCs w:val="24"/>
        </w:rPr>
        <w:t>表6-2</w:t>
      </w:r>
      <w:r>
        <w:rPr>
          <w:rFonts w:hint="eastAsia" w:ascii="Times New Roman" w:hAnsi="Times New Roman" w:cs="Times New Roman"/>
          <w:b/>
          <w:color w:val="000000" w:themeColor="text1"/>
          <w:sz w:val="24"/>
          <w:szCs w:val="24"/>
          <w:lang w:val="en-US" w:eastAsia="zh-CN"/>
        </w:rPr>
        <w:t xml:space="preserve">4 </w:t>
      </w:r>
      <w:r>
        <w:rPr>
          <w:rFonts w:ascii="Times New Roman" w:hAnsi="Times New Roman" w:cs="Times New Roman"/>
          <w:b/>
          <w:color w:val="000000" w:themeColor="text1"/>
          <w:sz w:val="24"/>
          <w:szCs w:val="24"/>
        </w:rPr>
        <w:t>远期（</w:t>
      </w:r>
      <w:r>
        <w:rPr>
          <w:rFonts w:hint="eastAsia" w:ascii="Times New Roman" w:hAnsi="Times New Roman" w:cs="Times New Roman"/>
          <w:b/>
          <w:color w:val="000000" w:themeColor="text1"/>
          <w:sz w:val="24"/>
          <w:szCs w:val="24"/>
        </w:rPr>
        <w:t>27</w:t>
      </w:r>
      <w:r>
        <w:rPr>
          <w:rFonts w:ascii="Times New Roman" w:hAnsi="Times New Roman" w:cs="Times New Roman"/>
          <w:b/>
          <w:color w:val="000000" w:themeColor="text1"/>
          <w:sz w:val="24"/>
          <w:szCs w:val="24"/>
        </w:rPr>
        <w:t>-</w:t>
      </w:r>
      <w:r>
        <w:rPr>
          <w:rFonts w:hint="eastAsia" w:ascii="Times New Roman" w:hAnsi="Times New Roman" w:cs="Times New Roman"/>
          <w:b/>
          <w:color w:val="000000" w:themeColor="text1"/>
          <w:sz w:val="24"/>
          <w:szCs w:val="24"/>
        </w:rPr>
        <w:t>30</w:t>
      </w:r>
      <w:r>
        <w:rPr>
          <w:rFonts w:ascii="Times New Roman" w:hAnsi="Times New Roman" w:cs="Times New Roman"/>
          <w:b/>
          <w:color w:val="000000" w:themeColor="text1"/>
          <w:sz w:val="24"/>
          <w:szCs w:val="24"/>
        </w:rPr>
        <w:t>年）实施计划阶段工作计划安排表</w:t>
      </w:r>
    </w:p>
    <w:tbl>
      <w:tblPr>
        <w:tblStyle w:val="185"/>
        <w:tblW w:w="5032"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1" w:type="dxa"/>
          <w:left w:w="11" w:type="dxa"/>
          <w:bottom w:w="11" w:type="dxa"/>
          <w:right w:w="11" w:type="dxa"/>
        </w:tblCellMar>
      </w:tblPr>
      <w:tblGrid>
        <w:gridCol w:w="732"/>
        <w:gridCol w:w="1456"/>
        <w:gridCol w:w="6970"/>
      </w:tblGrid>
      <w:tr w14:paraId="758CF26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blHeader/>
        </w:trPr>
        <w:tc>
          <w:tcPr>
            <w:tcW w:w="731" w:type="dxa"/>
            <w:tcBorders>
              <w:tl2br w:val="nil"/>
              <w:tr2bl w:val="nil"/>
            </w:tcBorders>
            <w:vAlign w:val="center"/>
          </w:tcPr>
          <w:p w14:paraId="331F9B7B">
            <w:pPr>
              <w:widowControl/>
              <w:adjustRightInd w:val="0"/>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阶段</w:t>
            </w:r>
          </w:p>
        </w:tc>
        <w:tc>
          <w:tcPr>
            <w:tcW w:w="1455" w:type="dxa"/>
            <w:tcBorders>
              <w:tl2br w:val="nil"/>
              <w:tr2bl w:val="nil"/>
            </w:tcBorders>
            <w:vAlign w:val="center"/>
          </w:tcPr>
          <w:p w14:paraId="5DFFF1B7">
            <w:pPr>
              <w:widowControl/>
              <w:adjustRightInd w:val="0"/>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年度（年）</w:t>
            </w:r>
          </w:p>
        </w:tc>
        <w:tc>
          <w:tcPr>
            <w:tcW w:w="6965" w:type="dxa"/>
            <w:tcBorders>
              <w:tl2br w:val="nil"/>
              <w:tr2bl w:val="nil"/>
            </w:tcBorders>
            <w:vAlign w:val="center"/>
          </w:tcPr>
          <w:p w14:paraId="04DC56EB">
            <w:pPr>
              <w:widowControl/>
              <w:adjustRightInd w:val="0"/>
              <w:snapToGrid w:val="0"/>
              <w:spacing w:line="240" w:lineRule="auto"/>
              <w:jc w:val="center"/>
              <w:rPr>
                <w:rFonts w:ascii="Times New Roman" w:hAnsi="Times New Roman" w:cs="Times New Roman" w:eastAsiaTheme="minorEastAsia"/>
                <w:b/>
                <w:color w:val="000000" w:themeColor="text1"/>
                <w:kern w:val="0"/>
                <w:sz w:val="24"/>
                <w:szCs w:val="24"/>
                <w:lang w:eastAsia="en-US"/>
              </w:rPr>
            </w:pPr>
            <w:r>
              <w:rPr>
                <w:rFonts w:ascii="Times New Roman" w:hAnsi="Times New Roman" w:cs="Times New Roman" w:eastAsiaTheme="minorEastAsia"/>
                <w:b/>
                <w:color w:val="000000" w:themeColor="text1"/>
                <w:kern w:val="0"/>
                <w:sz w:val="24"/>
                <w:szCs w:val="24"/>
                <w:lang w:eastAsia="en-US"/>
              </w:rPr>
              <w:t>近期修复工作安排工程措施</w:t>
            </w:r>
          </w:p>
        </w:tc>
      </w:tr>
      <w:tr w14:paraId="02F8824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1" w:type="dxa"/>
            <w:vMerge w:val="restart"/>
            <w:tcBorders>
              <w:tl2br w:val="nil"/>
              <w:tr2bl w:val="nil"/>
            </w:tcBorders>
            <w:vAlign w:val="center"/>
          </w:tcPr>
          <w:p w14:paraId="4E649FA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远期</w:t>
            </w:r>
          </w:p>
        </w:tc>
        <w:tc>
          <w:tcPr>
            <w:tcW w:w="1455" w:type="dxa"/>
            <w:tcBorders>
              <w:tl2br w:val="nil"/>
              <w:tr2bl w:val="nil"/>
            </w:tcBorders>
            <w:vAlign w:val="center"/>
          </w:tcPr>
          <w:p w14:paraId="563B2A5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w:t>
            </w:r>
            <w:r>
              <w:rPr>
                <w:rFonts w:hint="eastAsia" w:ascii="Times New Roman" w:hAnsi="Times New Roman" w:cs="Times New Roman" w:eastAsiaTheme="minorEastAsia"/>
                <w:color w:val="000000" w:themeColor="text1"/>
                <w:kern w:val="0"/>
                <w:sz w:val="24"/>
                <w:szCs w:val="24"/>
                <w:lang w:eastAsia="en-US"/>
              </w:rPr>
              <w:t>52</w:t>
            </w:r>
            <w:r>
              <w:rPr>
                <w:rFonts w:ascii="Times New Roman" w:hAnsi="Times New Roman" w:cs="Times New Roman" w:eastAsiaTheme="minorEastAsia"/>
                <w:color w:val="000000" w:themeColor="text1"/>
                <w:kern w:val="0"/>
                <w:sz w:val="24"/>
                <w:szCs w:val="24"/>
                <w:lang w:eastAsia="en-US"/>
              </w:rPr>
              <w:t>年</w:t>
            </w:r>
          </w:p>
        </w:tc>
        <w:tc>
          <w:tcPr>
            <w:tcW w:w="6965" w:type="dxa"/>
            <w:tcBorders>
              <w:tl2br w:val="nil"/>
              <w:tr2bl w:val="nil"/>
            </w:tcBorders>
            <w:vAlign w:val="center"/>
          </w:tcPr>
          <w:p w14:paraId="380AF9F4">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排土场拆除石笼挡墙</w:t>
            </w:r>
            <w:r>
              <w:rPr>
                <w:rFonts w:hint="eastAsia" w:ascii="Times New Roman" w:hAnsi="Times New Roman" w:cs="Times New Roman" w:eastAsiaTheme="minorEastAsia"/>
                <w:color w:val="000000" w:themeColor="text1"/>
                <w:kern w:val="0"/>
                <w:sz w:val="24"/>
                <w:szCs w:val="24"/>
                <w:lang w:eastAsia="zh-CN"/>
              </w:rPr>
              <w:t>455m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r>
              <w:rPr>
                <w:rFonts w:ascii="Times New Roman" w:hAnsi="Times New Roman" w:cs="Times New Roman" w:eastAsiaTheme="minorEastAsia"/>
                <w:color w:val="000000" w:themeColor="text1"/>
                <w:kern w:val="0"/>
                <w:sz w:val="24"/>
                <w:szCs w:val="24"/>
                <w:lang w:eastAsia="zh-CN"/>
              </w:rPr>
              <w:t>、排土场运输拆除石笼</w:t>
            </w:r>
            <w:r>
              <w:rPr>
                <w:rFonts w:hint="eastAsia" w:ascii="Times New Roman" w:hAnsi="Times New Roman" w:cs="Times New Roman" w:eastAsiaTheme="minorEastAsia"/>
                <w:color w:val="000000" w:themeColor="text1"/>
                <w:kern w:val="0"/>
                <w:sz w:val="24"/>
                <w:szCs w:val="24"/>
                <w:lang w:eastAsia="zh-CN"/>
              </w:rPr>
              <w:t>455m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r>
              <w:rPr>
                <w:rFonts w:ascii="Times New Roman" w:hAnsi="Times New Roman" w:cs="Times New Roman" w:eastAsiaTheme="minorEastAsia"/>
                <w:color w:val="000000" w:themeColor="text1"/>
                <w:kern w:val="0"/>
                <w:sz w:val="24"/>
                <w:szCs w:val="24"/>
                <w:lang w:eastAsia="zh-CN"/>
              </w:rPr>
              <w:t>、露天采场地面清理平整</w:t>
            </w:r>
            <w:r>
              <w:rPr>
                <w:rFonts w:hint="eastAsia" w:ascii="Times New Roman" w:hAnsi="Times New Roman" w:cs="Times New Roman" w:eastAsiaTheme="minorEastAsia"/>
                <w:color w:val="000000" w:themeColor="text1"/>
                <w:kern w:val="0"/>
                <w:sz w:val="24"/>
                <w:szCs w:val="24"/>
                <w:lang w:eastAsia="zh-CN"/>
              </w:rPr>
              <w:t>12540m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r>
              <w:rPr>
                <w:rFonts w:ascii="Times New Roman" w:hAnsi="Times New Roman" w:cs="Times New Roman" w:eastAsiaTheme="minorEastAsia"/>
                <w:color w:val="000000" w:themeColor="text1"/>
                <w:kern w:val="0"/>
                <w:sz w:val="24"/>
                <w:szCs w:val="24"/>
                <w:lang w:eastAsia="zh-CN"/>
              </w:rPr>
              <w:t>；</w:t>
            </w:r>
          </w:p>
          <w:p w14:paraId="582E84B0">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表土</w:t>
            </w:r>
            <w:r>
              <w:rPr>
                <w:rFonts w:hint="eastAsia" w:ascii="Times New Roman" w:hAnsi="Times New Roman" w:cs="Times New Roman" w:eastAsiaTheme="minorEastAsia"/>
                <w:color w:val="000000" w:themeColor="text1"/>
                <w:kern w:val="0"/>
                <w:sz w:val="24"/>
                <w:szCs w:val="24"/>
                <w:lang w:val="en-US" w:eastAsia="zh-CN"/>
              </w:rPr>
              <w:t>回覆27</w:t>
            </w:r>
            <w:r>
              <w:rPr>
                <w:rFonts w:hint="eastAsia" w:ascii="Times New Roman" w:hAnsi="Times New Roman" w:cs="Times New Roman" w:eastAsiaTheme="minorEastAsia"/>
                <w:color w:val="000000" w:themeColor="text1"/>
                <w:kern w:val="0"/>
                <w:sz w:val="24"/>
                <w:szCs w:val="24"/>
                <w:lang w:eastAsia="en-US"/>
              </w:rPr>
              <w:t>00</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r>
              <w:rPr>
                <w:rFonts w:ascii="Times New Roman" w:hAnsi="Times New Roman" w:cs="Times New Roman" w:eastAsiaTheme="minorEastAsia"/>
                <w:color w:val="000000" w:themeColor="text1"/>
                <w:kern w:val="0"/>
                <w:sz w:val="24"/>
                <w:szCs w:val="24"/>
                <w:lang w:eastAsia="en-US"/>
              </w:rPr>
              <w:t>；</w:t>
            </w:r>
          </w:p>
          <w:p w14:paraId="31479680">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栽植乔木</w:t>
            </w:r>
            <w:r>
              <w:rPr>
                <w:rFonts w:hint="eastAsia" w:ascii="Times New Roman" w:hAnsi="Times New Roman" w:cs="Times New Roman" w:eastAsiaTheme="minorEastAsia"/>
                <w:color w:val="000000" w:themeColor="text1"/>
                <w:kern w:val="0"/>
                <w:sz w:val="24"/>
                <w:szCs w:val="24"/>
                <w:lang w:eastAsia="zh-CN"/>
              </w:rPr>
              <w:t>31350</w:t>
            </w:r>
            <w:r>
              <w:rPr>
                <w:rFonts w:ascii="Times New Roman" w:hAnsi="Times New Roman" w:cs="Times New Roman" w:eastAsiaTheme="minorEastAsia"/>
                <w:color w:val="000000" w:themeColor="text1"/>
                <w:kern w:val="0"/>
                <w:sz w:val="24"/>
                <w:szCs w:val="24"/>
                <w:lang w:eastAsia="zh-CN"/>
              </w:rPr>
              <w:t>株、栽植常春藤</w:t>
            </w:r>
            <w:r>
              <w:rPr>
                <w:rFonts w:hint="eastAsia" w:ascii="Times New Roman" w:hAnsi="Times New Roman" w:cs="Times New Roman" w:eastAsiaTheme="minorEastAsia"/>
                <w:color w:val="000000" w:themeColor="text1"/>
                <w:kern w:val="0"/>
                <w:sz w:val="24"/>
                <w:szCs w:val="24"/>
                <w:lang w:eastAsia="zh-CN"/>
              </w:rPr>
              <w:t>5200</w:t>
            </w:r>
            <w:r>
              <w:rPr>
                <w:rFonts w:ascii="Times New Roman" w:hAnsi="Times New Roman" w:cs="Times New Roman" w:eastAsiaTheme="minorEastAsia"/>
                <w:color w:val="000000" w:themeColor="text1"/>
                <w:kern w:val="0"/>
                <w:sz w:val="24"/>
                <w:szCs w:val="24"/>
                <w:lang w:eastAsia="zh-CN"/>
              </w:rPr>
              <w:t>株；</w:t>
            </w:r>
          </w:p>
          <w:p w14:paraId="32832FCF">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开挖汇水渠</w:t>
            </w:r>
            <w:r>
              <w:rPr>
                <w:rFonts w:hint="eastAsia" w:ascii="Times New Roman" w:hAnsi="Times New Roman" w:cs="Times New Roman" w:eastAsiaTheme="minorEastAsia"/>
                <w:color w:val="000000" w:themeColor="text1"/>
                <w:kern w:val="0"/>
                <w:sz w:val="24"/>
                <w:szCs w:val="24"/>
                <w:lang w:eastAsia="zh-CN"/>
              </w:rPr>
              <w:t>900m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r>
              <w:rPr>
                <w:rFonts w:ascii="Times New Roman" w:hAnsi="Times New Roman" w:cs="Times New Roman" w:eastAsiaTheme="minorEastAsia"/>
                <w:color w:val="000000" w:themeColor="text1"/>
                <w:kern w:val="0"/>
                <w:sz w:val="24"/>
                <w:szCs w:val="24"/>
                <w:lang w:eastAsia="zh-CN"/>
              </w:rPr>
              <w:t>。</w:t>
            </w:r>
            <w:r>
              <w:rPr>
                <w:rFonts w:ascii="Times New Roman" w:hAnsi="Times New Roman" w:cs="Times New Roman" w:eastAsiaTheme="minorEastAsia"/>
                <w:color w:val="000000" w:themeColor="text1"/>
                <w:kern w:val="0"/>
                <w:sz w:val="24"/>
                <w:szCs w:val="24"/>
                <w:lang w:eastAsia="zh-CN"/>
              </w:rPr>
              <w:tab/>
            </w:r>
          </w:p>
        </w:tc>
      </w:tr>
      <w:tr w14:paraId="0A48071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1" w:type="dxa"/>
            <w:vMerge w:val="continue"/>
            <w:tcBorders>
              <w:tl2br w:val="nil"/>
              <w:tr2bl w:val="nil"/>
            </w:tcBorders>
            <w:vAlign w:val="center"/>
          </w:tcPr>
          <w:p w14:paraId="21EFF89A">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5" w:type="dxa"/>
            <w:tcBorders>
              <w:tl2br w:val="nil"/>
              <w:tr2bl w:val="nil"/>
            </w:tcBorders>
            <w:vAlign w:val="center"/>
          </w:tcPr>
          <w:p w14:paraId="499B4C1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w:t>
            </w:r>
            <w:r>
              <w:rPr>
                <w:rFonts w:hint="eastAsia" w:ascii="Times New Roman" w:hAnsi="Times New Roman" w:cs="Times New Roman" w:eastAsiaTheme="minorEastAsia"/>
                <w:color w:val="000000" w:themeColor="text1"/>
                <w:kern w:val="0"/>
                <w:sz w:val="24"/>
                <w:szCs w:val="24"/>
                <w:lang w:eastAsia="en-US"/>
              </w:rPr>
              <w:t>53</w:t>
            </w:r>
            <w:r>
              <w:rPr>
                <w:rFonts w:ascii="Times New Roman" w:hAnsi="Times New Roman" w:cs="Times New Roman" w:eastAsiaTheme="minorEastAsia"/>
                <w:color w:val="000000" w:themeColor="text1"/>
                <w:kern w:val="0"/>
                <w:sz w:val="24"/>
                <w:szCs w:val="24"/>
                <w:lang w:eastAsia="en-US"/>
              </w:rPr>
              <w:t>年</w:t>
            </w:r>
          </w:p>
        </w:tc>
        <w:tc>
          <w:tcPr>
            <w:tcW w:w="6965" w:type="dxa"/>
            <w:tcBorders>
              <w:tl2br w:val="nil"/>
              <w:tr2bl w:val="nil"/>
            </w:tcBorders>
            <w:vAlign w:val="center"/>
          </w:tcPr>
          <w:p w14:paraId="4A4EFE20">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土壤质量监测4次、复垦效果监测4次和管护</w:t>
            </w:r>
            <w:r>
              <w:rPr>
                <w:rFonts w:hint="eastAsia" w:ascii="Times New Roman" w:hAnsi="Times New Roman" w:cs="Times New Roman" w:eastAsiaTheme="minorEastAsia"/>
                <w:color w:val="000000" w:themeColor="text1"/>
                <w:kern w:val="0"/>
                <w:sz w:val="24"/>
                <w:szCs w:val="24"/>
                <w:lang w:eastAsia="zh-CN"/>
              </w:rPr>
              <w:t>12.54</w:t>
            </w:r>
            <w:r>
              <w:rPr>
                <w:rFonts w:ascii="Times New Roman" w:hAnsi="Times New Roman" w:cs="Times New Roman" w:eastAsiaTheme="minorEastAsia"/>
                <w:color w:val="000000" w:themeColor="text1"/>
                <w:kern w:val="0"/>
                <w:sz w:val="24"/>
                <w:szCs w:val="24"/>
                <w:lang w:eastAsia="zh-CN"/>
              </w:rPr>
              <w:t>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r>
              <w:rPr>
                <w:rFonts w:ascii="Times New Roman" w:hAnsi="Times New Roman" w:cs="Times New Roman" w:eastAsiaTheme="minorEastAsia"/>
                <w:color w:val="000000" w:themeColor="text1"/>
                <w:kern w:val="0"/>
                <w:sz w:val="24"/>
                <w:szCs w:val="24"/>
                <w:lang w:eastAsia="zh-CN"/>
              </w:rPr>
              <w:t>。</w:t>
            </w:r>
          </w:p>
        </w:tc>
      </w:tr>
      <w:tr w14:paraId="0850767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1" w:type="dxa"/>
            <w:vMerge w:val="continue"/>
            <w:tcBorders>
              <w:tl2br w:val="nil"/>
              <w:tr2bl w:val="nil"/>
            </w:tcBorders>
            <w:vAlign w:val="center"/>
          </w:tcPr>
          <w:p w14:paraId="703A6D1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5" w:type="dxa"/>
            <w:tcBorders>
              <w:tl2br w:val="nil"/>
              <w:tr2bl w:val="nil"/>
            </w:tcBorders>
            <w:vAlign w:val="center"/>
          </w:tcPr>
          <w:p w14:paraId="660C6F8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w:t>
            </w:r>
            <w:r>
              <w:rPr>
                <w:rFonts w:hint="eastAsia" w:ascii="Times New Roman" w:hAnsi="Times New Roman" w:cs="Times New Roman" w:eastAsiaTheme="minorEastAsia"/>
                <w:color w:val="000000" w:themeColor="text1"/>
                <w:kern w:val="0"/>
                <w:sz w:val="24"/>
                <w:szCs w:val="24"/>
                <w:lang w:eastAsia="en-US"/>
              </w:rPr>
              <w:t>54</w:t>
            </w:r>
            <w:r>
              <w:rPr>
                <w:rFonts w:ascii="Times New Roman" w:hAnsi="Times New Roman" w:cs="Times New Roman" w:eastAsiaTheme="minorEastAsia"/>
                <w:color w:val="000000" w:themeColor="text1"/>
                <w:kern w:val="0"/>
                <w:sz w:val="24"/>
                <w:szCs w:val="24"/>
                <w:lang w:eastAsia="en-US"/>
              </w:rPr>
              <w:t>年</w:t>
            </w:r>
          </w:p>
        </w:tc>
        <w:tc>
          <w:tcPr>
            <w:tcW w:w="6965" w:type="dxa"/>
            <w:tcBorders>
              <w:tl2br w:val="nil"/>
              <w:tr2bl w:val="nil"/>
            </w:tcBorders>
            <w:vAlign w:val="center"/>
          </w:tcPr>
          <w:p w14:paraId="64B5A56D">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土壤质量监测4次、复垦效果监测4次和管护</w:t>
            </w:r>
            <w:r>
              <w:rPr>
                <w:rFonts w:hint="eastAsia" w:ascii="Times New Roman" w:hAnsi="Times New Roman" w:cs="Times New Roman" w:eastAsiaTheme="minorEastAsia"/>
                <w:color w:val="000000" w:themeColor="text1"/>
                <w:kern w:val="0"/>
                <w:sz w:val="24"/>
                <w:szCs w:val="24"/>
                <w:lang w:eastAsia="zh-CN"/>
              </w:rPr>
              <w:t>12.54</w:t>
            </w:r>
            <w:r>
              <w:rPr>
                <w:rFonts w:ascii="Times New Roman" w:hAnsi="Times New Roman" w:cs="Times New Roman" w:eastAsiaTheme="minorEastAsia"/>
                <w:color w:val="000000" w:themeColor="text1"/>
                <w:kern w:val="0"/>
                <w:sz w:val="24"/>
                <w:szCs w:val="24"/>
                <w:lang w:eastAsia="zh-CN"/>
              </w:rPr>
              <w:t>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r>
              <w:rPr>
                <w:rFonts w:ascii="Times New Roman" w:hAnsi="Times New Roman" w:cs="Times New Roman" w:eastAsiaTheme="minorEastAsia"/>
                <w:color w:val="000000" w:themeColor="text1"/>
                <w:kern w:val="0"/>
                <w:sz w:val="24"/>
                <w:szCs w:val="24"/>
                <w:lang w:eastAsia="zh-CN"/>
              </w:rPr>
              <w:t>。</w:t>
            </w:r>
          </w:p>
        </w:tc>
      </w:tr>
      <w:tr w14:paraId="52E266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1" w:type="dxa"/>
            <w:vMerge w:val="continue"/>
            <w:tcBorders>
              <w:tl2br w:val="nil"/>
              <w:tr2bl w:val="nil"/>
            </w:tcBorders>
            <w:vAlign w:val="center"/>
          </w:tcPr>
          <w:p w14:paraId="7D4FE502">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zh-CN"/>
              </w:rPr>
            </w:pPr>
          </w:p>
        </w:tc>
        <w:tc>
          <w:tcPr>
            <w:tcW w:w="1455" w:type="dxa"/>
            <w:tcBorders>
              <w:tl2br w:val="nil"/>
              <w:tr2bl w:val="nil"/>
            </w:tcBorders>
            <w:vAlign w:val="center"/>
          </w:tcPr>
          <w:p w14:paraId="6E4D7C2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lang w:eastAsia="en-US"/>
              </w:rPr>
            </w:pPr>
            <w:r>
              <w:rPr>
                <w:rFonts w:ascii="Times New Roman" w:hAnsi="Times New Roman" w:cs="Times New Roman" w:eastAsiaTheme="minorEastAsia"/>
                <w:color w:val="000000" w:themeColor="text1"/>
                <w:kern w:val="0"/>
                <w:sz w:val="24"/>
                <w:szCs w:val="24"/>
                <w:lang w:eastAsia="en-US"/>
              </w:rPr>
              <w:t>20</w:t>
            </w:r>
            <w:r>
              <w:rPr>
                <w:rFonts w:hint="eastAsia" w:ascii="Times New Roman" w:hAnsi="Times New Roman" w:cs="Times New Roman" w:eastAsiaTheme="minorEastAsia"/>
                <w:color w:val="000000" w:themeColor="text1"/>
                <w:kern w:val="0"/>
                <w:sz w:val="24"/>
                <w:szCs w:val="24"/>
                <w:lang w:eastAsia="en-US"/>
              </w:rPr>
              <w:t>55</w:t>
            </w:r>
            <w:r>
              <w:rPr>
                <w:rFonts w:ascii="Times New Roman" w:hAnsi="Times New Roman" w:cs="Times New Roman" w:eastAsiaTheme="minorEastAsia"/>
                <w:color w:val="000000" w:themeColor="text1"/>
                <w:kern w:val="0"/>
                <w:sz w:val="24"/>
                <w:szCs w:val="24"/>
                <w:lang w:eastAsia="en-US"/>
              </w:rPr>
              <w:t>年</w:t>
            </w:r>
          </w:p>
        </w:tc>
        <w:tc>
          <w:tcPr>
            <w:tcW w:w="6965" w:type="dxa"/>
            <w:tcBorders>
              <w:tl2br w:val="nil"/>
              <w:tr2bl w:val="nil"/>
            </w:tcBorders>
            <w:vAlign w:val="center"/>
          </w:tcPr>
          <w:p w14:paraId="48C1246C">
            <w:pPr>
              <w:widowControl/>
              <w:adjustRightInd w:val="0"/>
              <w:snapToGrid w:val="0"/>
              <w:spacing w:line="240" w:lineRule="auto"/>
              <w:jc w:val="left"/>
              <w:rPr>
                <w:rFonts w:ascii="Times New Roman" w:hAnsi="Times New Roman" w:cs="Times New Roman" w:eastAsiaTheme="minorEastAsia"/>
                <w:color w:val="000000" w:themeColor="text1"/>
                <w:kern w:val="0"/>
                <w:sz w:val="24"/>
                <w:szCs w:val="24"/>
                <w:lang w:eastAsia="zh-CN"/>
              </w:rPr>
            </w:pPr>
            <w:r>
              <w:rPr>
                <w:rFonts w:ascii="Times New Roman" w:hAnsi="Times New Roman" w:cs="Times New Roman" w:eastAsiaTheme="minorEastAsia"/>
                <w:color w:val="000000" w:themeColor="text1"/>
                <w:kern w:val="0"/>
                <w:sz w:val="24"/>
                <w:szCs w:val="24"/>
                <w:lang w:eastAsia="zh-CN"/>
              </w:rPr>
              <w:t>土壤质量监测4次、复垦效果监测4次和管护</w:t>
            </w:r>
            <w:r>
              <w:rPr>
                <w:rFonts w:hint="eastAsia" w:ascii="Times New Roman" w:hAnsi="Times New Roman" w:cs="Times New Roman" w:eastAsiaTheme="minorEastAsia"/>
                <w:color w:val="000000" w:themeColor="text1"/>
                <w:kern w:val="0"/>
                <w:sz w:val="24"/>
                <w:szCs w:val="24"/>
                <w:lang w:eastAsia="zh-CN"/>
              </w:rPr>
              <w:t>12.54</w:t>
            </w:r>
            <w:r>
              <w:rPr>
                <w:rFonts w:ascii="Times New Roman" w:hAnsi="Times New Roman" w:cs="Times New Roman" w:eastAsiaTheme="minorEastAsia"/>
                <w:color w:val="000000" w:themeColor="text1"/>
                <w:kern w:val="0"/>
                <w:sz w:val="24"/>
                <w:szCs w:val="24"/>
                <w:lang w:eastAsia="zh-CN"/>
              </w:rPr>
              <w:t>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r>
              <w:rPr>
                <w:rFonts w:ascii="Times New Roman" w:hAnsi="Times New Roman" w:cs="Times New Roman" w:eastAsiaTheme="minorEastAsia"/>
                <w:color w:val="000000" w:themeColor="text1"/>
                <w:kern w:val="0"/>
                <w:sz w:val="24"/>
                <w:szCs w:val="24"/>
                <w:lang w:eastAsia="zh-CN"/>
              </w:rPr>
              <w:t>。</w:t>
            </w:r>
          </w:p>
        </w:tc>
      </w:tr>
    </w:tbl>
    <w:p w14:paraId="6D8C3D43">
      <w:pPr>
        <w:pStyle w:val="178"/>
        <w:topLinePunct/>
        <w:rPr>
          <w:rFonts w:ascii="Times New Roman" w:hAnsi="Times New Roman" w:cs="Times New Roman"/>
          <w:color w:val="000000" w:themeColor="text1"/>
          <w:highlight w:val="yellow"/>
        </w:rPr>
      </w:pPr>
    </w:p>
    <w:p w14:paraId="31C2EE88">
      <w:pPr>
        <w:pStyle w:val="178"/>
        <w:topLinePunct/>
        <w:ind w:firstLine="0" w:firstLineChars="0"/>
        <w:jc w:val="center"/>
        <w:rPr>
          <w:rFonts w:hint="eastAsia" w:ascii="Times New Roman" w:hAnsi="Times New Roman" w:eastAsia="宋体" w:cs="Times New Roman"/>
          <w:color w:val="000000" w:themeColor="text1"/>
          <w:lang w:eastAsia="zh-CN"/>
        </w:rPr>
      </w:pPr>
      <w:r>
        <w:rPr>
          <w:rFonts w:hint="eastAsia" w:ascii="Times New Roman" w:hAnsi="Times New Roman" w:eastAsia="宋体" w:cs="Times New Roman"/>
          <w:color w:val="000000" w:themeColor="text1"/>
          <w:lang w:eastAsia="zh-CN"/>
        </w:rPr>
        <w:drawing>
          <wp:inline distT="0" distB="0" distL="114300" distR="114300">
            <wp:extent cx="5381625" cy="5381625"/>
            <wp:effectExtent l="0" t="0" r="9525" b="9525"/>
            <wp:docPr id="10" name="图片 1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0"/>
                    <pic:cNvPicPr>
                      <a:picLocks noChangeAspect="1"/>
                    </pic:cNvPicPr>
                  </pic:nvPicPr>
                  <pic:blipFill>
                    <a:blip r:embed="rId25"/>
                    <a:stretch>
                      <a:fillRect/>
                    </a:stretch>
                  </pic:blipFill>
                  <pic:spPr>
                    <a:xfrm>
                      <a:off x="0" y="0"/>
                      <a:ext cx="5381625" cy="5381625"/>
                    </a:xfrm>
                    <a:prstGeom prst="rect">
                      <a:avLst/>
                    </a:prstGeom>
                  </pic:spPr>
                </pic:pic>
              </a:graphicData>
            </a:graphic>
          </wp:inline>
        </w:drawing>
      </w:r>
    </w:p>
    <w:p w14:paraId="1C5BD565">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图6-2 </w:t>
      </w:r>
      <w:r>
        <w:rPr>
          <w:rFonts w:hint="eastAsia" w:ascii="Times New Roman" w:hAnsi="Times New Roman" w:cs="Times New Roman"/>
          <w:b/>
          <w:color w:val="000000" w:themeColor="text1"/>
          <w:sz w:val="24"/>
          <w:szCs w:val="24"/>
        </w:rPr>
        <w:t>远期</w:t>
      </w:r>
      <w:r>
        <w:rPr>
          <w:rFonts w:ascii="Times New Roman" w:hAnsi="Times New Roman" w:cs="Times New Roman"/>
          <w:b/>
          <w:color w:val="000000" w:themeColor="text1"/>
          <w:sz w:val="24"/>
          <w:szCs w:val="24"/>
        </w:rPr>
        <w:t>生态修复工程部署图</w:t>
      </w:r>
    </w:p>
    <w:p w14:paraId="7313F5A6">
      <w:pPr>
        <w:tabs>
          <w:tab w:val="left" w:pos="3403"/>
        </w:tabs>
        <w:spacing w:before="28"/>
        <w:ind w:left="2" w:right="44"/>
        <w:jc w:val="center"/>
        <w:rPr>
          <w:rFonts w:ascii="Times New Roman" w:hAnsi="Times New Roman" w:cs="Times New Roman"/>
          <w:b/>
          <w:color w:val="000000" w:themeColor="text1"/>
          <w:sz w:val="24"/>
          <w:szCs w:val="24"/>
          <w:highlight w:val="yellow"/>
        </w:rPr>
      </w:pPr>
    </w:p>
    <w:p w14:paraId="60CC0B6E">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（二）近年工作任务与经费进度安排</w:t>
      </w:r>
    </w:p>
    <w:p w14:paraId="1A3D64C9">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表6-2</w:t>
      </w:r>
      <w:r>
        <w:rPr>
          <w:rFonts w:hint="eastAsia" w:ascii="Times New Roman" w:hAnsi="Times New Roman" w:cs="Times New Roman"/>
          <w:b/>
          <w:color w:val="000000" w:themeColor="text1"/>
          <w:sz w:val="24"/>
          <w:szCs w:val="24"/>
          <w:lang w:val="en-US" w:eastAsia="zh-CN"/>
        </w:rPr>
        <w:t>5</w:t>
      </w:r>
      <w:r>
        <w:rPr>
          <w:rFonts w:ascii="Times New Roman" w:hAnsi="Times New Roman" w:cs="Times New Roman"/>
          <w:b/>
          <w:color w:val="000000" w:themeColor="text1"/>
          <w:sz w:val="24"/>
          <w:szCs w:val="24"/>
        </w:rPr>
        <w:t xml:space="preserve"> 前三年度矿区生态修复工作计划表</w:t>
      </w:r>
    </w:p>
    <w:tbl>
      <w:tblPr>
        <w:tblStyle w:val="42"/>
        <w:tblW w:w="5000"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579"/>
        <w:gridCol w:w="780"/>
        <w:gridCol w:w="1182"/>
        <w:gridCol w:w="1182"/>
        <w:gridCol w:w="1266"/>
        <w:gridCol w:w="1539"/>
        <w:gridCol w:w="845"/>
        <w:gridCol w:w="724"/>
        <w:gridCol w:w="1003"/>
      </w:tblGrid>
      <w:tr w14:paraId="3AE2E6B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tcBorders>
              <w:tl2br w:val="nil"/>
              <w:tr2bl w:val="nil"/>
            </w:tcBorders>
            <w:vAlign w:val="center"/>
          </w:tcPr>
          <w:p w14:paraId="17D1C7E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序号</w:t>
            </w:r>
          </w:p>
        </w:tc>
        <w:tc>
          <w:tcPr>
            <w:tcW w:w="831" w:type="dxa"/>
            <w:tcBorders>
              <w:tl2br w:val="nil"/>
              <w:tr2bl w:val="nil"/>
            </w:tcBorders>
            <w:vAlign w:val="center"/>
          </w:tcPr>
          <w:p w14:paraId="65DA26D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修复阶段</w:t>
            </w:r>
          </w:p>
        </w:tc>
        <w:tc>
          <w:tcPr>
            <w:tcW w:w="1260" w:type="dxa"/>
            <w:tcBorders>
              <w:tl2br w:val="nil"/>
              <w:tr2bl w:val="nil"/>
            </w:tcBorders>
            <w:vAlign w:val="center"/>
          </w:tcPr>
          <w:p w14:paraId="19C253B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所属生态修复区块</w:t>
            </w:r>
          </w:p>
        </w:tc>
        <w:tc>
          <w:tcPr>
            <w:tcW w:w="1260" w:type="dxa"/>
            <w:tcBorders>
              <w:tl2br w:val="nil"/>
              <w:tr2bl w:val="nil"/>
            </w:tcBorders>
            <w:vAlign w:val="center"/>
          </w:tcPr>
          <w:p w14:paraId="6D90527A">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是否为临时用地</w:t>
            </w:r>
          </w:p>
        </w:tc>
        <w:tc>
          <w:tcPr>
            <w:tcW w:w="1350" w:type="dxa"/>
            <w:tcBorders>
              <w:tl2br w:val="nil"/>
              <w:tr2bl w:val="nil"/>
            </w:tcBorders>
            <w:vAlign w:val="center"/>
          </w:tcPr>
          <w:p w14:paraId="19EF333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主要工程措施</w:t>
            </w:r>
          </w:p>
        </w:tc>
        <w:tc>
          <w:tcPr>
            <w:tcW w:w="1641" w:type="dxa"/>
            <w:tcBorders>
              <w:tl2br w:val="nil"/>
              <w:tr2bl w:val="nil"/>
            </w:tcBorders>
            <w:vAlign w:val="center"/>
          </w:tcPr>
          <w:p w14:paraId="1E1BD50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工程量</w:t>
            </w:r>
          </w:p>
        </w:tc>
        <w:tc>
          <w:tcPr>
            <w:tcW w:w="901" w:type="dxa"/>
            <w:tcBorders>
              <w:tl2br w:val="nil"/>
              <w:tr2bl w:val="nil"/>
            </w:tcBorders>
            <w:vAlign w:val="center"/>
          </w:tcPr>
          <w:p w14:paraId="543D050E">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目标地类</w:t>
            </w:r>
          </w:p>
        </w:tc>
        <w:tc>
          <w:tcPr>
            <w:tcW w:w="771" w:type="dxa"/>
            <w:tcBorders>
              <w:tl2br w:val="nil"/>
              <w:tr2bl w:val="nil"/>
            </w:tcBorders>
            <w:vAlign w:val="center"/>
          </w:tcPr>
          <w:p w14:paraId="60305A7A">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面积（h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r>
              <w:rPr>
                <w:rFonts w:ascii="Times New Roman" w:hAnsi="Times New Roman" w:cs="Times New Roman" w:eastAsiaTheme="minorEastAsia"/>
                <w:color w:val="000000" w:themeColor="text1"/>
                <w:kern w:val="0"/>
                <w:sz w:val="24"/>
                <w:szCs w:val="24"/>
              </w:rPr>
              <w:t>）</w:t>
            </w:r>
          </w:p>
        </w:tc>
        <w:tc>
          <w:tcPr>
            <w:tcW w:w="1068" w:type="dxa"/>
            <w:tcBorders>
              <w:tl2br w:val="nil"/>
              <w:tr2bl w:val="nil"/>
            </w:tcBorders>
            <w:vAlign w:val="center"/>
          </w:tcPr>
          <w:p w14:paraId="0FE58E3A">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费用（万元）</w:t>
            </w:r>
          </w:p>
        </w:tc>
      </w:tr>
      <w:tr w14:paraId="638BF9E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restart"/>
            <w:tcBorders>
              <w:tl2br w:val="nil"/>
              <w:tr2bl w:val="nil"/>
            </w:tcBorders>
            <w:vAlign w:val="center"/>
          </w:tcPr>
          <w:p w14:paraId="3A2B03C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1</w:t>
            </w:r>
          </w:p>
        </w:tc>
        <w:tc>
          <w:tcPr>
            <w:tcW w:w="831" w:type="dxa"/>
            <w:vMerge w:val="restart"/>
            <w:tcBorders>
              <w:tl2br w:val="nil"/>
              <w:tr2bl w:val="nil"/>
            </w:tcBorders>
            <w:vAlign w:val="center"/>
          </w:tcPr>
          <w:p w14:paraId="793BF8A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第一年度</w:t>
            </w:r>
          </w:p>
        </w:tc>
        <w:tc>
          <w:tcPr>
            <w:tcW w:w="1260" w:type="dxa"/>
            <w:vMerge w:val="restart"/>
            <w:tcBorders>
              <w:tl2br w:val="nil"/>
              <w:tr2bl w:val="nil"/>
            </w:tcBorders>
            <w:vAlign w:val="center"/>
          </w:tcPr>
          <w:p w14:paraId="3F6A216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露天采场</w:t>
            </w:r>
          </w:p>
        </w:tc>
        <w:tc>
          <w:tcPr>
            <w:tcW w:w="1260" w:type="dxa"/>
            <w:vMerge w:val="restart"/>
            <w:tcBorders>
              <w:tl2br w:val="nil"/>
              <w:tr2bl w:val="nil"/>
            </w:tcBorders>
            <w:vAlign w:val="center"/>
          </w:tcPr>
          <w:p w14:paraId="510279A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是</w:t>
            </w:r>
          </w:p>
        </w:tc>
        <w:tc>
          <w:tcPr>
            <w:tcW w:w="1350" w:type="dxa"/>
            <w:tcBorders>
              <w:tl2br w:val="nil"/>
              <w:tr2bl w:val="nil"/>
            </w:tcBorders>
            <w:vAlign w:val="center"/>
          </w:tcPr>
          <w:p w14:paraId="6EBC7570">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设立警示牌</w:t>
            </w:r>
          </w:p>
        </w:tc>
        <w:tc>
          <w:tcPr>
            <w:tcW w:w="1641" w:type="dxa"/>
            <w:tcBorders>
              <w:tl2br w:val="nil"/>
              <w:tr2bl w:val="nil"/>
            </w:tcBorders>
            <w:vAlign w:val="center"/>
          </w:tcPr>
          <w:p w14:paraId="5B9C1F59">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13个</w:t>
            </w:r>
          </w:p>
        </w:tc>
        <w:tc>
          <w:tcPr>
            <w:tcW w:w="901" w:type="dxa"/>
            <w:vMerge w:val="restart"/>
            <w:tcBorders>
              <w:tl2br w:val="nil"/>
              <w:tr2bl w:val="nil"/>
            </w:tcBorders>
            <w:vAlign w:val="center"/>
          </w:tcPr>
          <w:p w14:paraId="64AE5BE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w:t>
            </w:r>
          </w:p>
          <w:p w14:paraId="0CA5A22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restart"/>
            <w:tcBorders>
              <w:tl2br w:val="nil"/>
              <w:tr2bl w:val="nil"/>
            </w:tcBorders>
            <w:vAlign w:val="center"/>
          </w:tcPr>
          <w:p w14:paraId="08E24FC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w:t>
            </w:r>
          </w:p>
        </w:tc>
        <w:tc>
          <w:tcPr>
            <w:tcW w:w="1068" w:type="dxa"/>
            <w:tcBorders>
              <w:tl2br w:val="nil"/>
              <w:tr2bl w:val="nil"/>
            </w:tcBorders>
            <w:vAlign w:val="center"/>
          </w:tcPr>
          <w:p w14:paraId="045626D7">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0.26</w:t>
            </w:r>
          </w:p>
        </w:tc>
      </w:tr>
      <w:tr w14:paraId="234072F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continue"/>
            <w:tcBorders>
              <w:tl2br w:val="nil"/>
              <w:tr2bl w:val="nil"/>
            </w:tcBorders>
            <w:vAlign w:val="center"/>
          </w:tcPr>
          <w:p w14:paraId="6B814DF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831" w:type="dxa"/>
            <w:vMerge w:val="continue"/>
            <w:tcBorders>
              <w:tl2br w:val="nil"/>
              <w:tr2bl w:val="nil"/>
            </w:tcBorders>
            <w:vAlign w:val="center"/>
          </w:tcPr>
          <w:p w14:paraId="656A988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3FF1DB0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1C7DD592">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350" w:type="dxa"/>
            <w:tcBorders>
              <w:tl2br w:val="nil"/>
              <w:tr2bl w:val="nil"/>
            </w:tcBorders>
            <w:vAlign w:val="center"/>
          </w:tcPr>
          <w:p w14:paraId="06899A36">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表土剥离</w:t>
            </w:r>
          </w:p>
        </w:tc>
        <w:tc>
          <w:tcPr>
            <w:tcW w:w="1641" w:type="dxa"/>
            <w:tcBorders>
              <w:tl2br w:val="nil"/>
              <w:tr2bl w:val="nil"/>
            </w:tcBorders>
            <w:vAlign w:val="center"/>
          </w:tcPr>
          <w:p w14:paraId="01D9585F">
            <w:pPr>
              <w:widowControl/>
              <w:adjustRightInd w:val="0"/>
              <w:snapToGrid w:val="0"/>
              <w:spacing w:line="240" w:lineRule="auto"/>
              <w:jc w:val="center"/>
              <w:rPr>
                <w:rFonts w:hint="eastAsia" w:ascii="Times New Roman" w:hAnsi="Times New Roman" w:cs="Times New Roman" w:eastAsiaTheme="minorEastAsia"/>
                <w:color w:val="000000" w:themeColor="text1"/>
                <w:kern w:val="0"/>
                <w:sz w:val="24"/>
                <w:szCs w:val="24"/>
                <w:lang w:eastAsia="zh-CN"/>
              </w:rPr>
            </w:pPr>
            <w:r>
              <w:rPr>
                <w:rFonts w:hint="eastAsia" w:ascii="Times New Roman" w:hAnsi="Times New Roman" w:cs="Times New Roman" w:eastAsiaTheme="minorEastAsia"/>
                <w:color w:val="000000" w:themeColor="text1"/>
                <w:kern w:val="0"/>
                <w:sz w:val="24"/>
                <w:szCs w:val="24"/>
              </w:rPr>
              <w:t>2700</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p>
        </w:tc>
        <w:tc>
          <w:tcPr>
            <w:tcW w:w="901" w:type="dxa"/>
            <w:vMerge w:val="continue"/>
            <w:tcBorders>
              <w:tl2br w:val="nil"/>
              <w:tr2bl w:val="nil"/>
            </w:tcBorders>
            <w:vAlign w:val="center"/>
          </w:tcPr>
          <w:p w14:paraId="157BEE1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032AFCC6">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0A944876">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hint="eastAsia" w:ascii="Times New Roman" w:hAnsi="Times New Roman" w:cs="Times New Roman" w:eastAsiaTheme="minorEastAsia"/>
                <w:color w:val="000000" w:themeColor="text1"/>
                <w:kern w:val="0"/>
                <w:sz w:val="24"/>
                <w:szCs w:val="24"/>
              </w:rPr>
              <w:t>1.10</w:t>
            </w:r>
          </w:p>
        </w:tc>
      </w:tr>
      <w:tr w14:paraId="7EFB25A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continue"/>
            <w:tcBorders>
              <w:tl2br w:val="nil"/>
              <w:tr2bl w:val="nil"/>
            </w:tcBorders>
            <w:vAlign w:val="center"/>
          </w:tcPr>
          <w:p w14:paraId="5C2ED386">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831" w:type="dxa"/>
            <w:vMerge w:val="continue"/>
            <w:tcBorders>
              <w:tl2br w:val="nil"/>
              <w:tr2bl w:val="nil"/>
            </w:tcBorders>
            <w:vAlign w:val="center"/>
          </w:tcPr>
          <w:p w14:paraId="7546BBA6">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42892EC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68EF99F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350" w:type="dxa"/>
            <w:tcBorders>
              <w:tl2br w:val="nil"/>
              <w:tr2bl w:val="nil"/>
            </w:tcBorders>
            <w:vAlign w:val="center"/>
          </w:tcPr>
          <w:p w14:paraId="730591C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撒播种草</w:t>
            </w:r>
          </w:p>
        </w:tc>
        <w:tc>
          <w:tcPr>
            <w:tcW w:w="1641" w:type="dxa"/>
            <w:tcBorders>
              <w:tl2br w:val="nil"/>
              <w:tr2bl w:val="nil"/>
            </w:tcBorders>
            <w:vAlign w:val="center"/>
          </w:tcPr>
          <w:p w14:paraId="4E5AE658">
            <w:pPr>
              <w:widowControl/>
              <w:adjustRightInd w:val="0"/>
              <w:snapToGrid w:val="0"/>
              <w:spacing w:line="240" w:lineRule="auto"/>
              <w:jc w:val="center"/>
              <w:rPr>
                <w:rFonts w:hint="eastAsia" w:ascii="Times New Roman" w:hAnsi="Times New Roman" w:cs="Times New Roman" w:eastAsiaTheme="minorEastAsia"/>
                <w:color w:val="000000" w:themeColor="text1"/>
                <w:kern w:val="0"/>
                <w:sz w:val="24"/>
                <w:szCs w:val="24"/>
                <w:lang w:eastAsia="zh-CN"/>
              </w:rPr>
            </w:pPr>
            <w:r>
              <w:rPr>
                <w:rFonts w:hint="eastAsia" w:ascii="Times New Roman" w:hAnsi="Times New Roman" w:cs="Times New Roman" w:eastAsiaTheme="minorEastAsia"/>
                <w:color w:val="000000" w:themeColor="text1"/>
                <w:kern w:val="0"/>
                <w:sz w:val="24"/>
                <w:szCs w:val="24"/>
              </w:rPr>
              <w:t>0.13</w:t>
            </w:r>
            <w:r>
              <w:rPr>
                <w:rFonts w:ascii="Times New Roman" w:hAnsi="Times New Roman" w:cs="Times New Roman" w:eastAsiaTheme="minorEastAsia"/>
                <w:color w:val="000000" w:themeColor="text1"/>
                <w:kern w:val="0"/>
                <w:sz w:val="24"/>
                <w:szCs w:val="24"/>
              </w:rPr>
              <w:t>h</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2</w:t>
            </w:r>
          </w:p>
        </w:tc>
        <w:tc>
          <w:tcPr>
            <w:tcW w:w="901" w:type="dxa"/>
            <w:vMerge w:val="continue"/>
            <w:tcBorders>
              <w:tl2br w:val="nil"/>
              <w:tr2bl w:val="nil"/>
            </w:tcBorders>
            <w:vAlign w:val="center"/>
          </w:tcPr>
          <w:p w14:paraId="08D35C69">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3F9F5112">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6434289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hint="eastAsia" w:ascii="Times New Roman" w:hAnsi="Times New Roman" w:cs="Times New Roman" w:eastAsiaTheme="minorEastAsia"/>
                <w:color w:val="000000" w:themeColor="text1"/>
                <w:kern w:val="0"/>
                <w:sz w:val="24"/>
                <w:szCs w:val="24"/>
              </w:rPr>
              <w:t>0.05</w:t>
            </w:r>
          </w:p>
        </w:tc>
      </w:tr>
      <w:tr w14:paraId="59B8E60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continue"/>
            <w:tcBorders>
              <w:tl2br w:val="nil"/>
              <w:tr2bl w:val="nil"/>
            </w:tcBorders>
            <w:vAlign w:val="center"/>
          </w:tcPr>
          <w:p w14:paraId="526337E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831" w:type="dxa"/>
            <w:vMerge w:val="continue"/>
            <w:tcBorders>
              <w:tl2br w:val="nil"/>
              <w:tr2bl w:val="nil"/>
            </w:tcBorders>
            <w:vAlign w:val="center"/>
          </w:tcPr>
          <w:p w14:paraId="52E8AB0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61F288A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44F37A76">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350" w:type="dxa"/>
            <w:tcBorders>
              <w:tl2br w:val="nil"/>
              <w:tr2bl w:val="nil"/>
            </w:tcBorders>
            <w:vAlign w:val="center"/>
          </w:tcPr>
          <w:p w14:paraId="25D7536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石笼挡墙土方开挖</w:t>
            </w:r>
          </w:p>
        </w:tc>
        <w:tc>
          <w:tcPr>
            <w:tcW w:w="1641" w:type="dxa"/>
            <w:tcBorders>
              <w:tl2br w:val="nil"/>
              <w:tr2bl w:val="nil"/>
            </w:tcBorders>
            <w:vAlign w:val="center"/>
          </w:tcPr>
          <w:p w14:paraId="58C75313">
            <w:pPr>
              <w:widowControl/>
              <w:adjustRightInd w:val="0"/>
              <w:snapToGrid w:val="0"/>
              <w:spacing w:line="240" w:lineRule="auto"/>
              <w:jc w:val="center"/>
              <w:rPr>
                <w:rFonts w:hint="eastAsia" w:ascii="Times New Roman" w:hAnsi="Times New Roman" w:cs="Times New Roman" w:eastAsiaTheme="minorEastAsia"/>
                <w:color w:val="000000" w:themeColor="text1"/>
                <w:kern w:val="0"/>
                <w:sz w:val="24"/>
                <w:szCs w:val="24"/>
                <w:lang w:eastAsia="zh-CN"/>
              </w:rPr>
            </w:pPr>
            <w:r>
              <w:rPr>
                <w:rFonts w:hint="eastAsia" w:ascii="Times New Roman" w:hAnsi="Times New Roman" w:cs="Times New Roman" w:eastAsiaTheme="minorEastAsia"/>
                <w:color w:val="000000" w:themeColor="text1"/>
                <w:kern w:val="0"/>
                <w:sz w:val="24"/>
                <w:szCs w:val="24"/>
              </w:rPr>
              <w:t>105</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p>
        </w:tc>
        <w:tc>
          <w:tcPr>
            <w:tcW w:w="901" w:type="dxa"/>
            <w:vMerge w:val="continue"/>
            <w:tcBorders>
              <w:tl2br w:val="nil"/>
              <w:tr2bl w:val="nil"/>
            </w:tcBorders>
            <w:vAlign w:val="center"/>
          </w:tcPr>
          <w:p w14:paraId="3F0D434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2CCC08A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35332F72">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hint="eastAsia" w:ascii="Times New Roman" w:hAnsi="Times New Roman" w:cs="Times New Roman" w:eastAsiaTheme="minorEastAsia"/>
                <w:color w:val="000000" w:themeColor="text1"/>
                <w:kern w:val="0"/>
                <w:sz w:val="24"/>
                <w:szCs w:val="24"/>
              </w:rPr>
              <w:t>0.03</w:t>
            </w:r>
          </w:p>
        </w:tc>
      </w:tr>
      <w:tr w14:paraId="550CDA6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continue"/>
            <w:tcBorders>
              <w:tl2br w:val="nil"/>
              <w:tr2bl w:val="nil"/>
            </w:tcBorders>
            <w:vAlign w:val="center"/>
          </w:tcPr>
          <w:p w14:paraId="7F08AEF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831" w:type="dxa"/>
            <w:vMerge w:val="continue"/>
            <w:tcBorders>
              <w:tl2br w:val="nil"/>
              <w:tr2bl w:val="nil"/>
            </w:tcBorders>
            <w:vAlign w:val="center"/>
          </w:tcPr>
          <w:p w14:paraId="69888FB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374FAC7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3B5F0FD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350" w:type="dxa"/>
            <w:tcBorders>
              <w:tl2br w:val="nil"/>
              <w:tr2bl w:val="nil"/>
            </w:tcBorders>
            <w:vAlign w:val="center"/>
          </w:tcPr>
          <w:p w14:paraId="1754AB9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石笼挡墙体积</w:t>
            </w:r>
          </w:p>
        </w:tc>
        <w:tc>
          <w:tcPr>
            <w:tcW w:w="1641" w:type="dxa"/>
            <w:tcBorders>
              <w:tl2br w:val="nil"/>
              <w:tr2bl w:val="nil"/>
            </w:tcBorders>
            <w:vAlign w:val="center"/>
          </w:tcPr>
          <w:p w14:paraId="4B7C4A16">
            <w:pPr>
              <w:widowControl/>
              <w:adjustRightInd w:val="0"/>
              <w:snapToGrid w:val="0"/>
              <w:spacing w:line="240" w:lineRule="auto"/>
              <w:jc w:val="center"/>
              <w:rPr>
                <w:rFonts w:hint="eastAsia" w:ascii="Times New Roman" w:hAnsi="Times New Roman" w:cs="Times New Roman" w:eastAsiaTheme="minorEastAsia"/>
                <w:color w:val="000000" w:themeColor="text1"/>
                <w:kern w:val="0"/>
                <w:sz w:val="24"/>
                <w:szCs w:val="24"/>
                <w:lang w:eastAsia="zh-CN"/>
              </w:rPr>
            </w:pPr>
            <w:r>
              <w:rPr>
                <w:rFonts w:hint="eastAsia" w:ascii="Times New Roman" w:hAnsi="Times New Roman" w:cs="Times New Roman" w:eastAsiaTheme="minorEastAsia"/>
                <w:color w:val="000000" w:themeColor="text1"/>
                <w:kern w:val="0"/>
                <w:sz w:val="24"/>
                <w:szCs w:val="24"/>
              </w:rPr>
              <w:t>455</w:t>
            </w:r>
            <w:r>
              <w:rPr>
                <w:rFonts w:hint="eastAsia" w:ascii="Times New Roman" w:hAnsi="Times New Roman" w:cs="Times New Roman" w:eastAsiaTheme="minorEastAsia"/>
                <w:color w:val="000000" w:themeColor="text1"/>
                <w:kern w:val="0"/>
                <w:sz w:val="24"/>
                <w:szCs w:val="24"/>
                <w:lang w:eastAsia="zh-CN"/>
              </w:rPr>
              <w:t>m</w:t>
            </w:r>
            <w:r>
              <w:rPr>
                <w:rFonts w:hint="eastAsia" w:ascii="Times New Roman" w:hAnsi="Times New Roman" w:cs="Times New Roman" w:eastAsiaTheme="minorEastAsia"/>
                <w:strike w:val="0"/>
                <w:dstrike w:val="0"/>
                <w:color w:val="000000" w:themeColor="text1"/>
                <w:kern w:val="0"/>
                <w:sz w:val="24"/>
                <w:szCs w:val="24"/>
                <w:vertAlign w:val="superscript"/>
                <w:lang w:eastAsia="zh-CN"/>
              </w:rPr>
              <w:t>3</w:t>
            </w:r>
          </w:p>
        </w:tc>
        <w:tc>
          <w:tcPr>
            <w:tcW w:w="901" w:type="dxa"/>
            <w:vMerge w:val="continue"/>
            <w:tcBorders>
              <w:tl2br w:val="nil"/>
              <w:tr2bl w:val="nil"/>
            </w:tcBorders>
            <w:vAlign w:val="center"/>
          </w:tcPr>
          <w:p w14:paraId="5A93209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0A48FB82">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5811892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hint="eastAsia" w:ascii="Times New Roman" w:hAnsi="Times New Roman" w:cs="Times New Roman" w:eastAsiaTheme="minorEastAsia"/>
                <w:color w:val="000000" w:themeColor="text1"/>
                <w:kern w:val="0"/>
                <w:sz w:val="24"/>
                <w:szCs w:val="24"/>
              </w:rPr>
              <w:t>11.62</w:t>
            </w:r>
          </w:p>
        </w:tc>
      </w:tr>
      <w:tr w14:paraId="363699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continue"/>
            <w:tcBorders>
              <w:tl2br w:val="nil"/>
              <w:tr2bl w:val="nil"/>
            </w:tcBorders>
            <w:vAlign w:val="center"/>
          </w:tcPr>
          <w:p w14:paraId="3117BD79">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831" w:type="dxa"/>
            <w:vMerge w:val="continue"/>
            <w:tcBorders>
              <w:tl2br w:val="nil"/>
              <w:tr2bl w:val="nil"/>
            </w:tcBorders>
            <w:vAlign w:val="center"/>
          </w:tcPr>
          <w:p w14:paraId="09F6195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7C0566A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0A99CF2A">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350" w:type="dxa"/>
            <w:tcBorders>
              <w:tl2br w:val="nil"/>
              <w:tr2bl w:val="nil"/>
            </w:tcBorders>
            <w:vAlign w:val="center"/>
          </w:tcPr>
          <w:p w14:paraId="27089C1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地质灾害监测</w:t>
            </w:r>
          </w:p>
        </w:tc>
        <w:tc>
          <w:tcPr>
            <w:tcW w:w="1641" w:type="dxa"/>
            <w:tcBorders>
              <w:tl2br w:val="nil"/>
              <w:tr2bl w:val="nil"/>
            </w:tcBorders>
            <w:vAlign w:val="center"/>
          </w:tcPr>
          <w:p w14:paraId="567A707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48次</w:t>
            </w:r>
          </w:p>
        </w:tc>
        <w:tc>
          <w:tcPr>
            <w:tcW w:w="901" w:type="dxa"/>
            <w:vMerge w:val="continue"/>
            <w:tcBorders>
              <w:tl2br w:val="nil"/>
              <w:tr2bl w:val="nil"/>
            </w:tcBorders>
            <w:vAlign w:val="center"/>
          </w:tcPr>
          <w:p w14:paraId="4109AF4A">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5E80322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4404016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rPr>
            </w:pPr>
            <w:r>
              <w:rPr>
                <w:rFonts w:hint="eastAsia" w:ascii="Times New Roman" w:hAnsi="Times New Roman" w:cs="Times New Roman" w:eastAsiaTheme="minorEastAsia"/>
                <w:color w:val="000000" w:themeColor="text1"/>
                <w:kern w:val="0"/>
                <w:sz w:val="24"/>
                <w:szCs w:val="24"/>
                <w:lang w:val="en-US" w:eastAsia="zh-CN"/>
              </w:rPr>
              <w:t>2.40</w:t>
            </w:r>
          </w:p>
        </w:tc>
      </w:tr>
      <w:tr w14:paraId="56BFB88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23" w:hRule="atLeast"/>
        </w:trPr>
        <w:tc>
          <w:tcPr>
            <w:tcW w:w="617" w:type="dxa"/>
            <w:vMerge w:val="continue"/>
            <w:tcBorders>
              <w:tl2br w:val="nil"/>
              <w:tr2bl w:val="nil"/>
            </w:tcBorders>
            <w:vAlign w:val="center"/>
          </w:tcPr>
          <w:p w14:paraId="5B7378E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831" w:type="dxa"/>
            <w:vMerge w:val="continue"/>
            <w:tcBorders>
              <w:tl2br w:val="nil"/>
              <w:tr2bl w:val="nil"/>
            </w:tcBorders>
            <w:vAlign w:val="center"/>
          </w:tcPr>
          <w:p w14:paraId="7FCCBBE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338E11B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1FE18DE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350" w:type="dxa"/>
            <w:tcBorders>
              <w:tl2br w:val="nil"/>
              <w:tr2bl w:val="nil"/>
            </w:tcBorders>
            <w:vAlign w:val="center"/>
          </w:tcPr>
          <w:p w14:paraId="4C335D4E">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地表水监测</w:t>
            </w:r>
          </w:p>
        </w:tc>
        <w:tc>
          <w:tcPr>
            <w:tcW w:w="1641" w:type="dxa"/>
            <w:tcBorders>
              <w:tl2br w:val="nil"/>
              <w:tr2bl w:val="nil"/>
            </w:tcBorders>
            <w:vAlign w:val="center"/>
          </w:tcPr>
          <w:p w14:paraId="3B53ADB7">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16次</w:t>
            </w:r>
          </w:p>
        </w:tc>
        <w:tc>
          <w:tcPr>
            <w:tcW w:w="901" w:type="dxa"/>
            <w:vMerge w:val="continue"/>
            <w:tcBorders>
              <w:tl2br w:val="nil"/>
              <w:tr2bl w:val="nil"/>
            </w:tcBorders>
            <w:vAlign w:val="center"/>
          </w:tcPr>
          <w:p w14:paraId="6FC730D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71E9A5E6">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6603557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rPr>
            </w:pPr>
            <w:r>
              <w:rPr>
                <w:rFonts w:hint="eastAsia" w:ascii="Times New Roman" w:hAnsi="Times New Roman" w:cs="Times New Roman" w:eastAsiaTheme="minorEastAsia"/>
                <w:color w:val="000000" w:themeColor="text1"/>
                <w:kern w:val="0"/>
                <w:sz w:val="24"/>
                <w:szCs w:val="24"/>
                <w:lang w:val="en-US" w:eastAsia="zh-CN"/>
              </w:rPr>
              <w:t>0.80</w:t>
            </w:r>
          </w:p>
        </w:tc>
      </w:tr>
      <w:tr w14:paraId="072EDE6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continue"/>
            <w:tcBorders>
              <w:tl2br w:val="nil"/>
              <w:tr2bl w:val="nil"/>
            </w:tcBorders>
            <w:vAlign w:val="center"/>
          </w:tcPr>
          <w:p w14:paraId="2D21A0B6">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831" w:type="dxa"/>
            <w:vMerge w:val="continue"/>
            <w:tcBorders>
              <w:tl2br w:val="nil"/>
              <w:tr2bl w:val="nil"/>
            </w:tcBorders>
            <w:vAlign w:val="center"/>
          </w:tcPr>
          <w:p w14:paraId="588408A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00D5B662">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410E5B67">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350" w:type="dxa"/>
            <w:tcBorders>
              <w:tl2br w:val="nil"/>
              <w:tr2bl w:val="nil"/>
            </w:tcBorders>
            <w:vAlign w:val="center"/>
          </w:tcPr>
          <w:p w14:paraId="35BA4179">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地形地貌景观监测</w:t>
            </w:r>
          </w:p>
        </w:tc>
        <w:tc>
          <w:tcPr>
            <w:tcW w:w="1641" w:type="dxa"/>
            <w:tcBorders>
              <w:tl2br w:val="nil"/>
              <w:tr2bl w:val="nil"/>
            </w:tcBorders>
            <w:vAlign w:val="center"/>
          </w:tcPr>
          <w:p w14:paraId="7EDB02E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4次</w:t>
            </w:r>
          </w:p>
        </w:tc>
        <w:tc>
          <w:tcPr>
            <w:tcW w:w="901" w:type="dxa"/>
            <w:vMerge w:val="continue"/>
            <w:tcBorders>
              <w:tl2br w:val="nil"/>
              <w:tr2bl w:val="nil"/>
            </w:tcBorders>
            <w:vAlign w:val="center"/>
          </w:tcPr>
          <w:p w14:paraId="183DDE0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175B1D1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0B74EC8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rPr>
            </w:pPr>
            <w:r>
              <w:rPr>
                <w:rFonts w:ascii="Times New Roman" w:hAnsi="Times New Roman" w:cs="Times New Roman" w:eastAsiaTheme="minorEastAsia"/>
                <w:color w:val="000000" w:themeColor="text1"/>
                <w:kern w:val="0"/>
                <w:sz w:val="24"/>
                <w:szCs w:val="24"/>
              </w:rPr>
              <w:t>0.</w:t>
            </w:r>
            <w:r>
              <w:rPr>
                <w:rFonts w:hint="eastAsia" w:ascii="Times New Roman" w:hAnsi="Times New Roman" w:cs="Times New Roman" w:eastAsiaTheme="minorEastAsia"/>
                <w:color w:val="000000" w:themeColor="text1"/>
                <w:kern w:val="0"/>
                <w:sz w:val="24"/>
                <w:szCs w:val="24"/>
                <w:lang w:val="en-US" w:eastAsia="zh-CN"/>
              </w:rPr>
              <w:t>20</w:t>
            </w:r>
          </w:p>
        </w:tc>
      </w:tr>
      <w:tr w14:paraId="6846E07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restart"/>
            <w:tcBorders>
              <w:tl2br w:val="nil"/>
              <w:tr2bl w:val="nil"/>
            </w:tcBorders>
            <w:vAlign w:val="center"/>
          </w:tcPr>
          <w:p w14:paraId="76221F6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2</w:t>
            </w:r>
          </w:p>
        </w:tc>
        <w:tc>
          <w:tcPr>
            <w:tcW w:w="831" w:type="dxa"/>
            <w:vMerge w:val="restart"/>
            <w:tcBorders>
              <w:tl2br w:val="nil"/>
              <w:tr2bl w:val="nil"/>
            </w:tcBorders>
            <w:vAlign w:val="center"/>
          </w:tcPr>
          <w:p w14:paraId="211ED46E">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第二年度</w:t>
            </w:r>
          </w:p>
        </w:tc>
        <w:tc>
          <w:tcPr>
            <w:tcW w:w="1260" w:type="dxa"/>
            <w:vMerge w:val="restart"/>
            <w:tcBorders>
              <w:tl2br w:val="nil"/>
              <w:tr2bl w:val="nil"/>
            </w:tcBorders>
            <w:vAlign w:val="center"/>
          </w:tcPr>
          <w:p w14:paraId="548C59B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露天采场</w:t>
            </w:r>
          </w:p>
        </w:tc>
        <w:tc>
          <w:tcPr>
            <w:tcW w:w="1260" w:type="dxa"/>
            <w:vMerge w:val="restart"/>
            <w:tcBorders>
              <w:tl2br w:val="nil"/>
              <w:tr2bl w:val="nil"/>
            </w:tcBorders>
            <w:vAlign w:val="center"/>
          </w:tcPr>
          <w:p w14:paraId="6108A2C5">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是</w:t>
            </w:r>
          </w:p>
        </w:tc>
        <w:tc>
          <w:tcPr>
            <w:tcW w:w="1350" w:type="dxa"/>
            <w:tcBorders>
              <w:tl2br w:val="nil"/>
              <w:tr2bl w:val="nil"/>
            </w:tcBorders>
            <w:vAlign w:val="center"/>
          </w:tcPr>
          <w:p w14:paraId="2442260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地质灾害监测</w:t>
            </w:r>
          </w:p>
        </w:tc>
        <w:tc>
          <w:tcPr>
            <w:tcW w:w="1641" w:type="dxa"/>
            <w:tcBorders>
              <w:tl2br w:val="nil"/>
              <w:tr2bl w:val="nil"/>
            </w:tcBorders>
            <w:vAlign w:val="center"/>
          </w:tcPr>
          <w:p w14:paraId="01A9190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48次</w:t>
            </w:r>
          </w:p>
        </w:tc>
        <w:tc>
          <w:tcPr>
            <w:tcW w:w="901" w:type="dxa"/>
            <w:vMerge w:val="restart"/>
            <w:tcBorders>
              <w:tl2br w:val="nil"/>
              <w:tr2bl w:val="nil"/>
            </w:tcBorders>
            <w:vAlign w:val="center"/>
          </w:tcPr>
          <w:p w14:paraId="305D5A80">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w:t>
            </w:r>
          </w:p>
        </w:tc>
        <w:tc>
          <w:tcPr>
            <w:tcW w:w="771" w:type="dxa"/>
            <w:vMerge w:val="restart"/>
            <w:tcBorders>
              <w:tl2br w:val="nil"/>
              <w:tr2bl w:val="nil"/>
            </w:tcBorders>
            <w:vAlign w:val="center"/>
          </w:tcPr>
          <w:p w14:paraId="1ADECC8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w:t>
            </w:r>
          </w:p>
        </w:tc>
        <w:tc>
          <w:tcPr>
            <w:tcW w:w="1068" w:type="dxa"/>
            <w:tcBorders>
              <w:tl2br w:val="nil"/>
              <w:tr2bl w:val="nil"/>
            </w:tcBorders>
            <w:vAlign w:val="center"/>
          </w:tcPr>
          <w:p w14:paraId="3100204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hint="eastAsia" w:ascii="Times New Roman" w:hAnsi="Times New Roman" w:cs="Times New Roman" w:eastAsiaTheme="minorEastAsia"/>
                <w:color w:val="000000" w:themeColor="text1"/>
                <w:kern w:val="0"/>
                <w:sz w:val="24"/>
                <w:szCs w:val="24"/>
                <w:lang w:val="en-US" w:eastAsia="zh-CN"/>
              </w:rPr>
              <w:t>2.40</w:t>
            </w:r>
          </w:p>
        </w:tc>
      </w:tr>
      <w:tr w14:paraId="1558913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continue"/>
            <w:tcBorders>
              <w:tl2br w:val="nil"/>
              <w:tr2bl w:val="nil"/>
            </w:tcBorders>
            <w:vAlign w:val="center"/>
          </w:tcPr>
          <w:p w14:paraId="43726E12">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831" w:type="dxa"/>
            <w:vMerge w:val="continue"/>
            <w:tcBorders>
              <w:tl2br w:val="nil"/>
              <w:tr2bl w:val="nil"/>
            </w:tcBorders>
            <w:vAlign w:val="center"/>
          </w:tcPr>
          <w:p w14:paraId="140EC59E">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1D16E13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469F0C2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350" w:type="dxa"/>
            <w:tcBorders>
              <w:tl2br w:val="nil"/>
              <w:tr2bl w:val="nil"/>
            </w:tcBorders>
            <w:vAlign w:val="center"/>
          </w:tcPr>
          <w:p w14:paraId="2C68774E">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地表水监测</w:t>
            </w:r>
          </w:p>
        </w:tc>
        <w:tc>
          <w:tcPr>
            <w:tcW w:w="1641" w:type="dxa"/>
            <w:tcBorders>
              <w:tl2br w:val="nil"/>
              <w:tr2bl w:val="nil"/>
            </w:tcBorders>
            <w:vAlign w:val="center"/>
          </w:tcPr>
          <w:p w14:paraId="4A1A2FB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16次</w:t>
            </w:r>
          </w:p>
        </w:tc>
        <w:tc>
          <w:tcPr>
            <w:tcW w:w="901" w:type="dxa"/>
            <w:vMerge w:val="continue"/>
            <w:tcBorders>
              <w:tl2br w:val="nil"/>
              <w:tr2bl w:val="nil"/>
            </w:tcBorders>
            <w:vAlign w:val="center"/>
          </w:tcPr>
          <w:p w14:paraId="104002E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7ECBC98E">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5479A39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hint="eastAsia" w:ascii="Times New Roman" w:hAnsi="Times New Roman" w:cs="Times New Roman" w:eastAsiaTheme="minorEastAsia"/>
                <w:color w:val="000000" w:themeColor="text1"/>
                <w:kern w:val="0"/>
                <w:sz w:val="24"/>
                <w:szCs w:val="24"/>
                <w:lang w:val="en-US" w:eastAsia="zh-CN"/>
              </w:rPr>
              <w:t>0.80</w:t>
            </w:r>
          </w:p>
        </w:tc>
      </w:tr>
      <w:tr w14:paraId="0137F1A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17" w:type="dxa"/>
            <w:vMerge w:val="continue"/>
            <w:tcBorders>
              <w:tl2br w:val="nil"/>
              <w:tr2bl w:val="nil"/>
            </w:tcBorders>
            <w:vAlign w:val="center"/>
          </w:tcPr>
          <w:p w14:paraId="6225EE0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831" w:type="dxa"/>
            <w:vMerge w:val="continue"/>
            <w:tcBorders>
              <w:tl2br w:val="nil"/>
              <w:tr2bl w:val="nil"/>
            </w:tcBorders>
            <w:vAlign w:val="center"/>
          </w:tcPr>
          <w:p w14:paraId="61769D4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4A24CE85">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4573A5F9">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350" w:type="dxa"/>
            <w:tcBorders>
              <w:tl2br w:val="nil"/>
              <w:tr2bl w:val="nil"/>
            </w:tcBorders>
            <w:vAlign w:val="center"/>
          </w:tcPr>
          <w:p w14:paraId="4DBF189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地形地貌景观监测</w:t>
            </w:r>
          </w:p>
        </w:tc>
        <w:tc>
          <w:tcPr>
            <w:tcW w:w="1641" w:type="dxa"/>
            <w:tcBorders>
              <w:tl2br w:val="nil"/>
              <w:tr2bl w:val="nil"/>
            </w:tcBorders>
            <w:vAlign w:val="center"/>
          </w:tcPr>
          <w:p w14:paraId="0A38732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4次</w:t>
            </w:r>
          </w:p>
        </w:tc>
        <w:tc>
          <w:tcPr>
            <w:tcW w:w="901" w:type="dxa"/>
            <w:vMerge w:val="continue"/>
            <w:tcBorders>
              <w:tl2br w:val="nil"/>
              <w:tr2bl w:val="nil"/>
            </w:tcBorders>
            <w:vAlign w:val="center"/>
          </w:tcPr>
          <w:p w14:paraId="535FC42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29010DC7">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64F1448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0.</w:t>
            </w:r>
            <w:r>
              <w:rPr>
                <w:rFonts w:hint="eastAsia" w:ascii="Times New Roman" w:hAnsi="Times New Roman" w:cs="Times New Roman" w:eastAsiaTheme="minorEastAsia"/>
                <w:color w:val="000000" w:themeColor="text1"/>
                <w:kern w:val="0"/>
                <w:sz w:val="24"/>
                <w:szCs w:val="24"/>
                <w:lang w:val="en-US" w:eastAsia="zh-CN"/>
              </w:rPr>
              <w:t>20</w:t>
            </w:r>
          </w:p>
        </w:tc>
      </w:tr>
      <w:tr w14:paraId="598D4D9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restart"/>
            <w:tcBorders>
              <w:tl2br w:val="nil"/>
              <w:tr2bl w:val="nil"/>
            </w:tcBorders>
            <w:vAlign w:val="center"/>
          </w:tcPr>
          <w:p w14:paraId="1AC0780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3</w:t>
            </w:r>
          </w:p>
        </w:tc>
        <w:tc>
          <w:tcPr>
            <w:tcW w:w="831" w:type="dxa"/>
            <w:vMerge w:val="restart"/>
            <w:tcBorders>
              <w:tl2br w:val="nil"/>
              <w:tr2bl w:val="nil"/>
            </w:tcBorders>
            <w:vAlign w:val="center"/>
          </w:tcPr>
          <w:p w14:paraId="0130934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第三年度</w:t>
            </w:r>
          </w:p>
        </w:tc>
        <w:tc>
          <w:tcPr>
            <w:tcW w:w="1260" w:type="dxa"/>
            <w:vMerge w:val="restart"/>
            <w:tcBorders>
              <w:tl2br w:val="nil"/>
              <w:tr2bl w:val="nil"/>
            </w:tcBorders>
            <w:vAlign w:val="center"/>
          </w:tcPr>
          <w:p w14:paraId="75C5C3D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露天采场</w:t>
            </w:r>
          </w:p>
        </w:tc>
        <w:tc>
          <w:tcPr>
            <w:tcW w:w="1260" w:type="dxa"/>
            <w:vMerge w:val="restart"/>
            <w:tcBorders>
              <w:tl2br w:val="nil"/>
              <w:tr2bl w:val="nil"/>
            </w:tcBorders>
            <w:vAlign w:val="center"/>
          </w:tcPr>
          <w:p w14:paraId="08E23B5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是</w:t>
            </w:r>
          </w:p>
        </w:tc>
        <w:tc>
          <w:tcPr>
            <w:tcW w:w="1350" w:type="dxa"/>
            <w:tcBorders>
              <w:tl2br w:val="nil"/>
              <w:tr2bl w:val="nil"/>
            </w:tcBorders>
            <w:vAlign w:val="center"/>
          </w:tcPr>
          <w:p w14:paraId="73F07F8A">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地质灾害监测</w:t>
            </w:r>
          </w:p>
        </w:tc>
        <w:tc>
          <w:tcPr>
            <w:tcW w:w="1641" w:type="dxa"/>
            <w:tcBorders>
              <w:tl2br w:val="nil"/>
              <w:tr2bl w:val="nil"/>
            </w:tcBorders>
            <w:vAlign w:val="center"/>
          </w:tcPr>
          <w:p w14:paraId="5FC3D52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48次</w:t>
            </w:r>
          </w:p>
        </w:tc>
        <w:tc>
          <w:tcPr>
            <w:tcW w:w="901" w:type="dxa"/>
            <w:vMerge w:val="restart"/>
            <w:tcBorders>
              <w:tl2br w:val="nil"/>
              <w:tr2bl w:val="nil"/>
            </w:tcBorders>
            <w:vAlign w:val="center"/>
          </w:tcPr>
          <w:p w14:paraId="75E3CEE5">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w:t>
            </w:r>
          </w:p>
        </w:tc>
        <w:tc>
          <w:tcPr>
            <w:tcW w:w="771" w:type="dxa"/>
            <w:vMerge w:val="restart"/>
            <w:tcBorders>
              <w:tl2br w:val="nil"/>
              <w:tr2bl w:val="nil"/>
            </w:tcBorders>
            <w:vAlign w:val="center"/>
          </w:tcPr>
          <w:p w14:paraId="40DBDAC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w:t>
            </w:r>
          </w:p>
        </w:tc>
        <w:tc>
          <w:tcPr>
            <w:tcW w:w="1068" w:type="dxa"/>
            <w:tcBorders>
              <w:tl2br w:val="nil"/>
              <w:tr2bl w:val="nil"/>
            </w:tcBorders>
            <w:vAlign w:val="center"/>
          </w:tcPr>
          <w:p w14:paraId="03DC073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hint="eastAsia" w:ascii="Times New Roman" w:hAnsi="Times New Roman" w:cs="Times New Roman" w:eastAsiaTheme="minorEastAsia"/>
                <w:color w:val="000000" w:themeColor="text1"/>
                <w:kern w:val="0"/>
                <w:sz w:val="24"/>
                <w:szCs w:val="24"/>
                <w:lang w:val="en-US" w:eastAsia="zh-CN"/>
              </w:rPr>
              <w:t>2.40</w:t>
            </w:r>
          </w:p>
        </w:tc>
      </w:tr>
      <w:tr w14:paraId="0D889F7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continue"/>
            <w:tcBorders>
              <w:tl2br w:val="nil"/>
              <w:tr2bl w:val="nil"/>
            </w:tcBorders>
            <w:vAlign w:val="center"/>
          </w:tcPr>
          <w:p w14:paraId="1F4282FE">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831" w:type="dxa"/>
            <w:vMerge w:val="continue"/>
            <w:tcBorders>
              <w:tl2br w:val="nil"/>
              <w:tr2bl w:val="nil"/>
            </w:tcBorders>
            <w:vAlign w:val="center"/>
          </w:tcPr>
          <w:p w14:paraId="7F925DA9">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5B935426">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2B127B2A">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350" w:type="dxa"/>
            <w:tcBorders>
              <w:tl2br w:val="nil"/>
              <w:tr2bl w:val="nil"/>
            </w:tcBorders>
            <w:vAlign w:val="center"/>
          </w:tcPr>
          <w:p w14:paraId="4492D36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地表水监测</w:t>
            </w:r>
          </w:p>
        </w:tc>
        <w:tc>
          <w:tcPr>
            <w:tcW w:w="1641" w:type="dxa"/>
            <w:tcBorders>
              <w:tl2br w:val="nil"/>
              <w:tr2bl w:val="nil"/>
            </w:tcBorders>
            <w:vAlign w:val="center"/>
          </w:tcPr>
          <w:p w14:paraId="3AC3A18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16次</w:t>
            </w:r>
          </w:p>
        </w:tc>
        <w:tc>
          <w:tcPr>
            <w:tcW w:w="901" w:type="dxa"/>
            <w:vMerge w:val="continue"/>
            <w:tcBorders>
              <w:tl2br w:val="nil"/>
              <w:tr2bl w:val="nil"/>
            </w:tcBorders>
            <w:vAlign w:val="center"/>
          </w:tcPr>
          <w:p w14:paraId="4F24745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5C373BC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7C5EB4A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hint="eastAsia" w:ascii="Times New Roman" w:hAnsi="Times New Roman" w:cs="Times New Roman" w:eastAsiaTheme="minorEastAsia"/>
                <w:color w:val="000000" w:themeColor="text1"/>
                <w:kern w:val="0"/>
                <w:sz w:val="24"/>
                <w:szCs w:val="24"/>
                <w:lang w:val="en-US" w:eastAsia="zh-CN"/>
              </w:rPr>
              <w:t>0.80</w:t>
            </w:r>
          </w:p>
        </w:tc>
      </w:tr>
      <w:tr w14:paraId="66F7D8F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continue"/>
            <w:tcBorders>
              <w:tl2br w:val="nil"/>
              <w:tr2bl w:val="nil"/>
            </w:tcBorders>
            <w:vAlign w:val="center"/>
          </w:tcPr>
          <w:p w14:paraId="3317BF7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831" w:type="dxa"/>
            <w:vMerge w:val="continue"/>
            <w:tcBorders>
              <w:tl2br w:val="nil"/>
              <w:tr2bl w:val="nil"/>
            </w:tcBorders>
            <w:vAlign w:val="center"/>
          </w:tcPr>
          <w:p w14:paraId="6071631E">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642D397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133DD480">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350" w:type="dxa"/>
            <w:tcBorders>
              <w:tl2br w:val="nil"/>
              <w:tr2bl w:val="nil"/>
            </w:tcBorders>
            <w:vAlign w:val="center"/>
          </w:tcPr>
          <w:p w14:paraId="2C3108BE">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地形地貌景观监测</w:t>
            </w:r>
          </w:p>
        </w:tc>
        <w:tc>
          <w:tcPr>
            <w:tcW w:w="1641" w:type="dxa"/>
            <w:tcBorders>
              <w:tl2br w:val="nil"/>
              <w:tr2bl w:val="nil"/>
            </w:tcBorders>
            <w:vAlign w:val="center"/>
          </w:tcPr>
          <w:p w14:paraId="6F17A65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4次</w:t>
            </w:r>
          </w:p>
        </w:tc>
        <w:tc>
          <w:tcPr>
            <w:tcW w:w="901" w:type="dxa"/>
            <w:vMerge w:val="continue"/>
            <w:tcBorders>
              <w:tl2br w:val="nil"/>
              <w:tr2bl w:val="nil"/>
            </w:tcBorders>
            <w:vAlign w:val="center"/>
          </w:tcPr>
          <w:p w14:paraId="00E9BBBE">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20157E1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559F71F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0.</w:t>
            </w:r>
            <w:r>
              <w:rPr>
                <w:rFonts w:hint="eastAsia" w:ascii="Times New Roman" w:hAnsi="Times New Roman" w:cs="Times New Roman" w:eastAsiaTheme="minorEastAsia"/>
                <w:color w:val="000000" w:themeColor="text1"/>
                <w:kern w:val="0"/>
                <w:sz w:val="24"/>
                <w:szCs w:val="24"/>
                <w:lang w:val="en-US" w:eastAsia="zh-CN"/>
              </w:rPr>
              <w:t>20</w:t>
            </w:r>
          </w:p>
        </w:tc>
      </w:tr>
      <w:tr w14:paraId="61EE299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restart"/>
            <w:tcBorders>
              <w:tl2br w:val="nil"/>
              <w:tr2bl w:val="nil"/>
            </w:tcBorders>
            <w:vAlign w:val="center"/>
          </w:tcPr>
          <w:p w14:paraId="1066CC0F">
            <w:pPr>
              <w:adjustRightInd w:val="0"/>
              <w:snapToGrid w:val="0"/>
              <w:jc w:val="center"/>
              <w:rPr>
                <w:rFonts w:ascii="Times New Roman" w:hAnsi="Times New Roman" w:cs="Times New Roman" w:eastAsiaTheme="minorEastAsia"/>
                <w:color w:val="E36C09" w:themeColor="accent6" w:themeShade="BF"/>
                <w:kern w:val="0"/>
                <w:sz w:val="24"/>
                <w:szCs w:val="24"/>
              </w:rPr>
            </w:pPr>
            <w:r>
              <w:rPr>
                <w:rFonts w:hint="eastAsia" w:ascii="Times New Roman" w:hAnsi="Times New Roman" w:cs="Times New Roman" w:eastAsiaTheme="minorEastAsia"/>
                <w:color w:val="E36C09" w:themeColor="accent6" w:themeShade="BF"/>
                <w:kern w:val="0"/>
                <w:sz w:val="24"/>
                <w:szCs w:val="24"/>
              </w:rPr>
              <w:t>4</w:t>
            </w:r>
          </w:p>
        </w:tc>
        <w:tc>
          <w:tcPr>
            <w:tcW w:w="831" w:type="dxa"/>
            <w:vMerge w:val="restart"/>
            <w:tcBorders>
              <w:tl2br w:val="nil"/>
              <w:tr2bl w:val="nil"/>
            </w:tcBorders>
            <w:vAlign w:val="center"/>
          </w:tcPr>
          <w:p w14:paraId="21B12946">
            <w:pPr>
              <w:adjustRightInd w:val="0"/>
              <w:snapToGrid w:val="0"/>
              <w:jc w:val="center"/>
              <w:rPr>
                <w:rFonts w:ascii="Times New Roman" w:hAnsi="Times New Roman" w:cs="Times New Roman" w:eastAsiaTheme="minorEastAsia"/>
                <w:color w:val="E36C09" w:themeColor="accent6" w:themeShade="BF"/>
                <w:kern w:val="0"/>
                <w:sz w:val="24"/>
                <w:szCs w:val="24"/>
              </w:rPr>
            </w:pPr>
            <w:r>
              <w:rPr>
                <w:rFonts w:ascii="Times New Roman" w:hAnsi="Times New Roman" w:cs="Times New Roman" w:eastAsiaTheme="minorEastAsia"/>
                <w:color w:val="E36C09" w:themeColor="accent6" w:themeShade="BF"/>
                <w:kern w:val="0"/>
                <w:sz w:val="24"/>
                <w:szCs w:val="24"/>
              </w:rPr>
              <w:t>第</w:t>
            </w:r>
            <w:r>
              <w:rPr>
                <w:rFonts w:hint="eastAsia" w:ascii="Times New Roman" w:hAnsi="Times New Roman" w:cs="Times New Roman" w:eastAsiaTheme="minorEastAsia"/>
                <w:color w:val="E36C09" w:themeColor="accent6" w:themeShade="BF"/>
                <w:kern w:val="0"/>
                <w:sz w:val="24"/>
                <w:szCs w:val="24"/>
              </w:rPr>
              <w:t>四</w:t>
            </w:r>
            <w:r>
              <w:rPr>
                <w:rFonts w:ascii="Times New Roman" w:hAnsi="Times New Roman" w:cs="Times New Roman" w:eastAsiaTheme="minorEastAsia"/>
                <w:color w:val="E36C09" w:themeColor="accent6" w:themeShade="BF"/>
                <w:kern w:val="0"/>
                <w:sz w:val="24"/>
                <w:szCs w:val="24"/>
              </w:rPr>
              <w:t>年度</w:t>
            </w:r>
          </w:p>
        </w:tc>
        <w:tc>
          <w:tcPr>
            <w:tcW w:w="1260" w:type="dxa"/>
            <w:vMerge w:val="restart"/>
            <w:tcBorders>
              <w:tl2br w:val="nil"/>
              <w:tr2bl w:val="nil"/>
            </w:tcBorders>
            <w:vAlign w:val="center"/>
          </w:tcPr>
          <w:p w14:paraId="5BDCC448">
            <w:pPr>
              <w:adjustRightInd w:val="0"/>
              <w:snapToGrid w:val="0"/>
              <w:jc w:val="center"/>
              <w:rPr>
                <w:rFonts w:ascii="Times New Roman" w:hAnsi="Times New Roman" w:cs="Times New Roman" w:eastAsiaTheme="minorEastAsia"/>
                <w:color w:val="E36C09" w:themeColor="accent6" w:themeShade="BF"/>
                <w:kern w:val="0"/>
                <w:sz w:val="24"/>
                <w:szCs w:val="24"/>
              </w:rPr>
            </w:pPr>
            <w:r>
              <w:rPr>
                <w:rFonts w:ascii="Times New Roman" w:hAnsi="Times New Roman" w:cs="Times New Roman" w:eastAsiaTheme="minorEastAsia"/>
                <w:color w:val="E36C09" w:themeColor="accent6" w:themeShade="BF"/>
                <w:kern w:val="0"/>
                <w:sz w:val="24"/>
                <w:szCs w:val="24"/>
              </w:rPr>
              <w:t>露天采场</w:t>
            </w:r>
          </w:p>
        </w:tc>
        <w:tc>
          <w:tcPr>
            <w:tcW w:w="1260" w:type="dxa"/>
            <w:vMerge w:val="restart"/>
            <w:tcBorders>
              <w:tl2br w:val="nil"/>
              <w:tr2bl w:val="nil"/>
            </w:tcBorders>
            <w:vAlign w:val="center"/>
          </w:tcPr>
          <w:p w14:paraId="75B4E449">
            <w:pPr>
              <w:adjustRightInd w:val="0"/>
              <w:snapToGrid w:val="0"/>
              <w:jc w:val="center"/>
              <w:rPr>
                <w:rFonts w:ascii="Times New Roman" w:hAnsi="Times New Roman" w:cs="Times New Roman" w:eastAsiaTheme="minorEastAsia"/>
                <w:color w:val="E36C09" w:themeColor="accent6" w:themeShade="BF"/>
                <w:kern w:val="0"/>
                <w:sz w:val="24"/>
                <w:szCs w:val="24"/>
              </w:rPr>
            </w:pPr>
            <w:r>
              <w:rPr>
                <w:rFonts w:ascii="Times New Roman" w:hAnsi="Times New Roman" w:cs="Times New Roman" w:eastAsiaTheme="minorEastAsia"/>
                <w:color w:val="E36C09" w:themeColor="accent6" w:themeShade="BF"/>
                <w:kern w:val="0"/>
                <w:sz w:val="24"/>
                <w:szCs w:val="24"/>
              </w:rPr>
              <w:t>是</w:t>
            </w:r>
          </w:p>
        </w:tc>
        <w:tc>
          <w:tcPr>
            <w:tcW w:w="1350" w:type="dxa"/>
            <w:tcBorders>
              <w:tl2br w:val="nil"/>
              <w:tr2bl w:val="nil"/>
            </w:tcBorders>
            <w:vAlign w:val="center"/>
          </w:tcPr>
          <w:p w14:paraId="7479CDF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地质灾害监测</w:t>
            </w:r>
          </w:p>
        </w:tc>
        <w:tc>
          <w:tcPr>
            <w:tcW w:w="1641" w:type="dxa"/>
            <w:tcBorders>
              <w:tl2br w:val="nil"/>
              <w:tr2bl w:val="nil"/>
            </w:tcBorders>
            <w:vAlign w:val="center"/>
          </w:tcPr>
          <w:p w14:paraId="498C5DB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48次</w:t>
            </w:r>
          </w:p>
        </w:tc>
        <w:tc>
          <w:tcPr>
            <w:tcW w:w="901" w:type="dxa"/>
            <w:vMerge w:val="continue"/>
            <w:tcBorders>
              <w:tl2br w:val="nil"/>
              <w:tr2bl w:val="nil"/>
            </w:tcBorders>
            <w:vAlign w:val="center"/>
          </w:tcPr>
          <w:p w14:paraId="620C0B5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w:t>
            </w:r>
          </w:p>
        </w:tc>
        <w:tc>
          <w:tcPr>
            <w:tcW w:w="771" w:type="dxa"/>
            <w:vMerge w:val="continue"/>
            <w:tcBorders>
              <w:tl2br w:val="nil"/>
              <w:tr2bl w:val="nil"/>
            </w:tcBorders>
            <w:vAlign w:val="center"/>
          </w:tcPr>
          <w:p w14:paraId="579BB7C6">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w:t>
            </w:r>
          </w:p>
        </w:tc>
        <w:tc>
          <w:tcPr>
            <w:tcW w:w="1068" w:type="dxa"/>
            <w:tcBorders>
              <w:tl2br w:val="nil"/>
              <w:tr2bl w:val="nil"/>
            </w:tcBorders>
            <w:vAlign w:val="center"/>
          </w:tcPr>
          <w:p w14:paraId="7097DE80">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hint="eastAsia" w:ascii="Times New Roman" w:hAnsi="Times New Roman" w:cs="Times New Roman" w:eastAsiaTheme="minorEastAsia"/>
                <w:color w:val="000000" w:themeColor="text1"/>
                <w:kern w:val="0"/>
                <w:sz w:val="24"/>
                <w:szCs w:val="24"/>
                <w:lang w:val="en-US" w:eastAsia="zh-CN"/>
              </w:rPr>
              <w:t>2.40</w:t>
            </w:r>
          </w:p>
        </w:tc>
      </w:tr>
      <w:tr w14:paraId="757D545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continue"/>
            <w:tcBorders>
              <w:tl2br w:val="nil"/>
              <w:tr2bl w:val="nil"/>
            </w:tcBorders>
            <w:vAlign w:val="center"/>
          </w:tcPr>
          <w:p w14:paraId="52803F86">
            <w:pPr>
              <w:widowControl/>
              <w:adjustRightInd w:val="0"/>
              <w:snapToGrid w:val="0"/>
              <w:spacing w:line="240" w:lineRule="auto"/>
              <w:jc w:val="center"/>
              <w:rPr>
                <w:rFonts w:ascii="Times New Roman" w:hAnsi="Times New Roman" w:cs="Times New Roman" w:eastAsiaTheme="minorEastAsia"/>
                <w:color w:val="E36C09" w:themeColor="accent6" w:themeShade="BF"/>
                <w:kern w:val="0"/>
                <w:sz w:val="24"/>
                <w:szCs w:val="24"/>
              </w:rPr>
            </w:pPr>
          </w:p>
        </w:tc>
        <w:tc>
          <w:tcPr>
            <w:tcW w:w="831" w:type="dxa"/>
            <w:vMerge w:val="continue"/>
            <w:tcBorders>
              <w:tl2br w:val="nil"/>
              <w:tr2bl w:val="nil"/>
            </w:tcBorders>
            <w:vAlign w:val="center"/>
          </w:tcPr>
          <w:p w14:paraId="5A99CF05">
            <w:pPr>
              <w:widowControl/>
              <w:adjustRightInd w:val="0"/>
              <w:snapToGrid w:val="0"/>
              <w:spacing w:line="240" w:lineRule="auto"/>
              <w:jc w:val="center"/>
              <w:rPr>
                <w:rFonts w:ascii="Times New Roman" w:hAnsi="Times New Roman" w:cs="Times New Roman" w:eastAsiaTheme="minorEastAsia"/>
                <w:color w:val="E36C09" w:themeColor="accent6" w:themeShade="BF"/>
                <w:kern w:val="0"/>
                <w:sz w:val="24"/>
                <w:szCs w:val="24"/>
              </w:rPr>
            </w:pPr>
          </w:p>
        </w:tc>
        <w:tc>
          <w:tcPr>
            <w:tcW w:w="1260" w:type="dxa"/>
            <w:vMerge w:val="continue"/>
            <w:tcBorders>
              <w:tl2br w:val="nil"/>
              <w:tr2bl w:val="nil"/>
            </w:tcBorders>
            <w:vAlign w:val="center"/>
          </w:tcPr>
          <w:p w14:paraId="50019007">
            <w:pPr>
              <w:widowControl/>
              <w:adjustRightInd w:val="0"/>
              <w:snapToGrid w:val="0"/>
              <w:spacing w:line="240" w:lineRule="auto"/>
              <w:jc w:val="center"/>
              <w:rPr>
                <w:rFonts w:ascii="Times New Roman" w:hAnsi="Times New Roman" w:cs="Times New Roman" w:eastAsiaTheme="minorEastAsia"/>
                <w:color w:val="E36C09" w:themeColor="accent6" w:themeShade="BF"/>
                <w:kern w:val="0"/>
                <w:sz w:val="24"/>
                <w:szCs w:val="24"/>
              </w:rPr>
            </w:pPr>
          </w:p>
        </w:tc>
        <w:tc>
          <w:tcPr>
            <w:tcW w:w="1260" w:type="dxa"/>
            <w:vMerge w:val="continue"/>
            <w:tcBorders>
              <w:tl2br w:val="nil"/>
              <w:tr2bl w:val="nil"/>
            </w:tcBorders>
            <w:vAlign w:val="center"/>
          </w:tcPr>
          <w:p w14:paraId="4D5185B7">
            <w:pPr>
              <w:widowControl/>
              <w:adjustRightInd w:val="0"/>
              <w:snapToGrid w:val="0"/>
              <w:spacing w:line="240" w:lineRule="auto"/>
              <w:jc w:val="center"/>
              <w:rPr>
                <w:rFonts w:ascii="Times New Roman" w:hAnsi="Times New Roman" w:cs="Times New Roman" w:eastAsiaTheme="minorEastAsia"/>
                <w:color w:val="E36C09" w:themeColor="accent6" w:themeShade="BF"/>
                <w:kern w:val="0"/>
                <w:sz w:val="24"/>
                <w:szCs w:val="24"/>
              </w:rPr>
            </w:pPr>
          </w:p>
        </w:tc>
        <w:tc>
          <w:tcPr>
            <w:tcW w:w="1350" w:type="dxa"/>
            <w:tcBorders>
              <w:tl2br w:val="nil"/>
              <w:tr2bl w:val="nil"/>
            </w:tcBorders>
            <w:vAlign w:val="center"/>
          </w:tcPr>
          <w:p w14:paraId="5DF9749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地表水监测</w:t>
            </w:r>
          </w:p>
        </w:tc>
        <w:tc>
          <w:tcPr>
            <w:tcW w:w="1641" w:type="dxa"/>
            <w:tcBorders>
              <w:tl2br w:val="nil"/>
              <w:tr2bl w:val="nil"/>
            </w:tcBorders>
            <w:vAlign w:val="center"/>
          </w:tcPr>
          <w:p w14:paraId="709C4B26">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16次</w:t>
            </w:r>
          </w:p>
        </w:tc>
        <w:tc>
          <w:tcPr>
            <w:tcW w:w="901" w:type="dxa"/>
            <w:vMerge w:val="continue"/>
            <w:tcBorders>
              <w:tl2br w:val="nil"/>
              <w:tr2bl w:val="nil"/>
            </w:tcBorders>
            <w:vAlign w:val="center"/>
          </w:tcPr>
          <w:p w14:paraId="3F2CE42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538455C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4F9DCA1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hint="eastAsia" w:ascii="Times New Roman" w:hAnsi="Times New Roman" w:cs="Times New Roman" w:eastAsiaTheme="minorEastAsia"/>
                <w:color w:val="000000" w:themeColor="text1"/>
                <w:kern w:val="0"/>
                <w:sz w:val="24"/>
                <w:szCs w:val="24"/>
                <w:lang w:val="en-US" w:eastAsia="zh-CN"/>
              </w:rPr>
              <w:t>0.80</w:t>
            </w:r>
          </w:p>
        </w:tc>
      </w:tr>
      <w:tr w14:paraId="5310098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continue"/>
            <w:tcBorders>
              <w:tl2br w:val="nil"/>
              <w:tr2bl w:val="nil"/>
            </w:tcBorders>
            <w:vAlign w:val="center"/>
          </w:tcPr>
          <w:p w14:paraId="1D0EBDF0">
            <w:pPr>
              <w:widowControl/>
              <w:adjustRightInd w:val="0"/>
              <w:snapToGrid w:val="0"/>
              <w:spacing w:line="240" w:lineRule="auto"/>
              <w:jc w:val="center"/>
              <w:rPr>
                <w:rFonts w:ascii="Times New Roman" w:hAnsi="Times New Roman" w:cs="Times New Roman" w:eastAsiaTheme="minorEastAsia"/>
                <w:color w:val="E36C09" w:themeColor="accent6" w:themeShade="BF"/>
                <w:kern w:val="0"/>
                <w:sz w:val="24"/>
                <w:szCs w:val="24"/>
              </w:rPr>
            </w:pPr>
          </w:p>
        </w:tc>
        <w:tc>
          <w:tcPr>
            <w:tcW w:w="831" w:type="dxa"/>
            <w:vMerge w:val="continue"/>
            <w:tcBorders>
              <w:tl2br w:val="nil"/>
              <w:tr2bl w:val="nil"/>
            </w:tcBorders>
            <w:vAlign w:val="center"/>
          </w:tcPr>
          <w:p w14:paraId="04013EA3">
            <w:pPr>
              <w:widowControl/>
              <w:adjustRightInd w:val="0"/>
              <w:snapToGrid w:val="0"/>
              <w:spacing w:line="240" w:lineRule="auto"/>
              <w:jc w:val="center"/>
              <w:rPr>
                <w:rFonts w:ascii="Times New Roman" w:hAnsi="Times New Roman" w:cs="Times New Roman" w:eastAsiaTheme="minorEastAsia"/>
                <w:color w:val="E36C09" w:themeColor="accent6" w:themeShade="BF"/>
                <w:kern w:val="0"/>
                <w:sz w:val="24"/>
                <w:szCs w:val="24"/>
              </w:rPr>
            </w:pPr>
          </w:p>
        </w:tc>
        <w:tc>
          <w:tcPr>
            <w:tcW w:w="1260" w:type="dxa"/>
            <w:vMerge w:val="continue"/>
            <w:tcBorders>
              <w:tl2br w:val="nil"/>
              <w:tr2bl w:val="nil"/>
            </w:tcBorders>
            <w:vAlign w:val="center"/>
          </w:tcPr>
          <w:p w14:paraId="245BEDC3">
            <w:pPr>
              <w:widowControl/>
              <w:adjustRightInd w:val="0"/>
              <w:snapToGrid w:val="0"/>
              <w:spacing w:line="240" w:lineRule="auto"/>
              <w:jc w:val="center"/>
              <w:rPr>
                <w:rFonts w:ascii="Times New Roman" w:hAnsi="Times New Roman" w:cs="Times New Roman" w:eastAsiaTheme="minorEastAsia"/>
                <w:color w:val="E36C09" w:themeColor="accent6" w:themeShade="BF"/>
                <w:kern w:val="0"/>
                <w:sz w:val="24"/>
                <w:szCs w:val="24"/>
              </w:rPr>
            </w:pPr>
          </w:p>
        </w:tc>
        <w:tc>
          <w:tcPr>
            <w:tcW w:w="1260" w:type="dxa"/>
            <w:vMerge w:val="continue"/>
            <w:tcBorders>
              <w:tl2br w:val="nil"/>
              <w:tr2bl w:val="nil"/>
            </w:tcBorders>
            <w:vAlign w:val="center"/>
          </w:tcPr>
          <w:p w14:paraId="01D74157">
            <w:pPr>
              <w:widowControl/>
              <w:adjustRightInd w:val="0"/>
              <w:snapToGrid w:val="0"/>
              <w:spacing w:line="240" w:lineRule="auto"/>
              <w:jc w:val="center"/>
              <w:rPr>
                <w:rFonts w:ascii="Times New Roman" w:hAnsi="Times New Roman" w:cs="Times New Roman" w:eastAsiaTheme="minorEastAsia"/>
                <w:color w:val="E36C09" w:themeColor="accent6" w:themeShade="BF"/>
                <w:kern w:val="0"/>
                <w:sz w:val="24"/>
                <w:szCs w:val="24"/>
              </w:rPr>
            </w:pPr>
          </w:p>
        </w:tc>
        <w:tc>
          <w:tcPr>
            <w:tcW w:w="1350" w:type="dxa"/>
            <w:tcBorders>
              <w:tl2br w:val="nil"/>
              <w:tr2bl w:val="nil"/>
            </w:tcBorders>
            <w:vAlign w:val="center"/>
          </w:tcPr>
          <w:p w14:paraId="77E3292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地形地貌景观监测</w:t>
            </w:r>
          </w:p>
        </w:tc>
        <w:tc>
          <w:tcPr>
            <w:tcW w:w="1641" w:type="dxa"/>
            <w:tcBorders>
              <w:tl2br w:val="nil"/>
              <w:tr2bl w:val="nil"/>
            </w:tcBorders>
            <w:vAlign w:val="center"/>
          </w:tcPr>
          <w:p w14:paraId="6E781032">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4次</w:t>
            </w:r>
          </w:p>
        </w:tc>
        <w:tc>
          <w:tcPr>
            <w:tcW w:w="901" w:type="dxa"/>
            <w:vMerge w:val="continue"/>
            <w:tcBorders>
              <w:tl2br w:val="nil"/>
              <w:tr2bl w:val="nil"/>
            </w:tcBorders>
            <w:vAlign w:val="center"/>
          </w:tcPr>
          <w:p w14:paraId="2F4E12F2">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1927CF3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7545F151">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0.</w:t>
            </w:r>
            <w:r>
              <w:rPr>
                <w:rFonts w:hint="eastAsia" w:ascii="Times New Roman" w:hAnsi="Times New Roman" w:cs="Times New Roman" w:eastAsiaTheme="minorEastAsia"/>
                <w:color w:val="000000" w:themeColor="text1"/>
                <w:kern w:val="0"/>
                <w:sz w:val="24"/>
                <w:szCs w:val="24"/>
                <w:lang w:val="en-US" w:eastAsia="zh-CN"/>
              </w:rPr>
              <w:t>20</w:t>
            </w:r>
          </w:p>
        </w:tc>
      </w:tr>
      <w:tr w14:paraId="0D28A60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restart"/>
            <w:tcBorders>
              <w:tl2br w:val="nil"/>
              <w:tr2bl w:val="nil"/>
            </w:tcBorders>
            <w:vAlign w:val="center"/>
          </w:tcPr>
          <w:p w14:paraId="22919933">
            <w:pPr>
              <w:adjustRightInd w:val="0"/>
              <w:snapToGrid w:val="0"/>
              <w:jc w:val="center"/>
              <w:rPr>
                <w:rFonts w:ascii="Times New Roman" w:hAnsi="Times New Roman" w:cs="Times New Roman" w:eastAsiaTheme="minorEastAsia"/>
                <w:color w:val="E36C09" w:themeColor="accent6" w:themeShade="BF"/>
                <w:kern w:val="0"/>
                <w:sz w:val="24"/>
                <w:szCs w:val="24"/>
              </w:rPr>
            </w:pPr>
            <w:r>
              <w:rPr>
                <w:rFonts w:hint="eastAsia" w:ascii="Times New Roman" w:hAnsi="Times New Roman" w:cs="Times New Roman" w:eastAsiaTheme="minorEastAsia"/>
                <w:color w:val="E36C09" w:themeColor="accent6" w:themeShade="BF"/>
                <w:kern w:val="0"/>
                <w:sz w:val="24"/>
                <w:szCs w:val="24"/>
              </w:rPr>
              <w:t>5</w:t>
            </w:r>
          </w:p>
        </w:tc>
        <w:tc>
          <w:tcPr>
            <w:tcW w:w="831" w:type="dxa"/>
            <w:vMerge w:val="restart"/>
            <w:tcBorders>
              <w:tl2br w:val="nil"/>
              <w:tr2bl w:val="nil"/>
            </w:tcBorders>
            <w:vAlign w:val="center"/>
          </w:tcPr>
          <w:p w14:paraId="31EEE7AE">
            <w:pPr>
              <w:adjustRightInd w:val="0"/>
              <w:snapToGrid w:val="0"/>
              <w:jc w:val="center"/>
              <w:rPr>
                <w:rFonts w:ascii="Times New Roman" w:hAnsi="Times New Roman" w:cs="Times New Roman" w:eastAsiaTheme="minorEastAsia"/>
                <w:color w:val="E36C09" w:themeColor="accent6" w:themeShade="BF"/>
                <w:kern w:val="0"/>
                <w:sz w:val="24"/>
                <w:szCs w:val="24"/>
              </w:rPr>
            </w:pPr>
            <w:r>
              <w:rPr>
                <w:rFonts w:ascii="Times New Roman" w:hAnsi="Times New Roman" w:cs="Times New Roman" w:eastAsiaTheme="minorEastAsia"/>
                <w:color w:val="E36C09" w:themeColor="accent6" w:themeShade="BF"/>
                <w:kern w:val="0"/>
                <w:sz w:val="24"/>
                <w:szCs w:val="24"/>
              </w:rPr>
              <w:t>第</w:t>
            </w:r>
            <w:r>
              <w:rPr>
                <w:rFonts w:hint="eastAsia" w:ascii="Times New Roman" w:hAnsi="Times New Roman" w:cs="Times New Roman" w:eastAsiaTheme="minorEastAsia"/>
                <w:color w:val="E36C09" w:themeColor="accent6" w:themeShade="BF"/>
                <w:kern w:val="0"/>
                <w:sz w:val="24"/>
                <w:szCs w:val="24"/>
              </w:rPr>
              <w:t>五</w:t>
            </w:r>
            <w:r>
              <w:rPr>
                <w:rFonts w:ascii="Times New Roman" w:hAnsi="Times New Roman" w:cs="Times New Roman" w:eastAsiaTheme="minorEastAsia"/>
                <w:color w:val="E36C09" w:themeColor="accent6" w:themeShade="BF"/>
                <w:kern w:val="0"/>
                <w:sz w:val="24"/>
                <w:szCs w:val="24"/>
              </w:rPr>
              <w:t>年度</w:t>
            </w:r>
          </w:p>
        </w:tc>
        <w:tc>
          <w:tcPr>
            <w:tcW w:w="1260" w:type="dxa"/>
            <w:vMerge w:val="restart"/>
            <w:tcBorders>
              <w:tl2br w:val="nil"/>
              <w:tr2bl w:val="nil"/>
            </w:tcBorders>
            <w:vAlign w:val="center"/>
          </w:tcPr>
          <w:p w14:paraId="1F3DF523">
            <w:pPr>
              <w:adjustRightInd w:val="0"/>
              <w:snapToGrid w:val="0"/>
              <w:jc w:val="center"/>
              <w:rPr>
                <w:rFonts w:ascii="Times New Roman" w:hAnsi="Times New Roman" w:cs="Times New Roman" w:eastAsiaTheme="minorEastAsia"/>
                <w:color w:val="E36C09" w:themeColor="accent6" w:themeShade="BF"/>
                <w:kern w:val="0"/>
                <w:sz w:val="24"/>
                <w:szCs w:val="24"/>
              </w:rPr>
            </w:pPr>
            <w:r>
              <w:rPr>
                <w:rFonts w:ascii="Times New Roman" w:hAnsi="Times New Roman" w:cs="Times New Roman" w:eastAsiaTheme="minorEastAsia"/>
                <w:color w:val="E36C09" w:themeColor="accent6" w:themeShade="BF"/>
                <w:kern w:val="0"/>
                <w:sz w:val="24"/>
                <w:szCs w:val="24"/>
              </w:rPr>
              <w:t>露天采场</w:t>
            </w:r>
          </w:p>
        </w:tc>
        <w:tc>
          <w:tcPr>
            <w:tcW w:w="1260" w:type="dxa"/>
            <w:vMerge w:val="restart"/>
            <w:tcBorders>
              <w:tl2br w:val="nil"/>
              <w:tr2bl w:val="nil"/>
            </w:tcBorders>
            <w:vAlign w:val="center"/>
          </w:tcPr>
          <w:p w14:paraId="6646B249">
            <w:pPr>
              <w:adjustRightInd w:val="0"/>
              <w:snapToGrid w:val="0"/>
              <w:jc w:val="center"/>
              <w:rPr>
                <w:rFonts w:ascii="Times New Roman" w:hAnsi="Times New Roman" w:cs="Times New Roman" w:eastAsiaTheme="minorEastAsia"/>
                <w:color w:val="E36C09" w:themeColor="accent6" w:themeShade="BF"/>
                <w:kern w:val="0"/>
                <w:sz w:val="24"/>
                <w:szCs w:val="24"/>
              </w:rPr>
            </w:pPr>
            <w:r>
              <w:rPr>
                <w:rFonts w:ascii="Times New Roman" w:hAnsi="Times New Roman" w:cs="Times New Roman" w:eastAsiaTheme="minorEastAsia"/>
                <w:color w:val="E36C09" w:themeColor="accent6" w:themeShade="BF"/>
                <w:kern w:val="0"/>
                <w:sz w:val="24"/>
                <w:szCs w:val="24"/>
              </w:rPr>
              <w:t>是</w:t>
            </w:r>
          </w:p>
        </w:tc>
        <w:tc>
          <w:tcPr>
            <w:tcW w:w="1350" w:type="dxa"/>
            <w:tcBorders>
              <w:tl2br w:val="nil"/>
              <w:tr2bl w:val="nil"/>
            </w:tcBorders>
            <w:vAlign w:val="center"/>
          </w:tcPr>
          <w:p w14:paraId="0D578A9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地质灾害监测</w:t>
            </w:r>
          </w:p>
        </w:tc>
        <w:tc>
          <w:tcPr>
            <w:tcW w:w="1641" w:type="dxa"/>
            <w:tcBorders>
              <w:tl2br w:val="nil"/>
              <w:tr2bl w:val="nil"/>
            </w:tcBorders>
            <w:vAlign w:val="center"/>
          </w:tcPr>
          <w:p w14:paraId="0773384D">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48次</w:t>
            </w:r>
          </w:p>
        </w:tc>
        <w:tc>
          <w:tcPr>
            <w:tcW w:w="901" w:type="dxa"/>
            <w:vMerge w:val="continue"/>
            <w:tcBorders>
              <w:tl2br w:val="nil"/>
              <w:tr2bl w:val="nil"/>
            </w:tcBorders>
            <w:vAlign w:val="center"/>
          </w:tcPr>
          <w:p w14:paraId="15C6706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w:t>
            </w:r>
          </w:p>
        </w:tc>
        <w:tc>
          <w:tcPr>
            <w:tcW w:w="771" w:type="dxa"/>
            <w:vMerge w:val="continue"/>
            <w:tcBorders>
              <w:tl2br w:val="nil"/>
              <w:tr2bl w:val="nil"/>
            </w:tcBorders>
            <w:vAlign w:val="center"/>
          </w:tcPr>
          <w:p w14:paraId="7C10EB2F">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w:t>
            </w:r>
          </w:p>
        </w:tc>
        <w:tc>
          <w:tcPr>
            <w:tcW w:w="1068" w:type="dxa"/>
            <w:tcBorders>
              <w:tl2br w:val="nil"/>
              <w:tr2bl w:val="nil"/>
            </w:tcBorders>
            <w:vAlign w:val="center"/>
          </w:tcPr>
          <w:p w14:paraId="0CC4AD68">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hint="eastAsia" w:ascii="Times New Roman" w:hAnsi="Times New Roman" w:cs="Times New Roman" w:eastAsiaTheme="minorEastAsia"/>
                <w:color w:val="000000" w:themeColor="text1"/>
                <w:kern w:val="0"/>
                <w:sz w:val="24"/>
                <w:szCs w:val="24"/>
                <w:lang w:val="en-US" w:eastAsia="zh-CN"/>
              </w:rPr>
              <w:t>2.40</w:t>
            </w:r>
          </w:p>
        </w:tc>
      </w:tr>
      <w:tr w14:paraId="34D7672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continue"/>
            <w:tcBorders>
              <w:tl2br w:val="nil"/>
              <w:tr2bl w:val="nil"/>
            </w:tcBorders>
            <w:vAlign w:val="center"/>
          </w:tcPr>
          <w:p w14:paraId="321AC87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831" w:type="dxa"/>
            <w:vMerge w:val="continue"/>
            <w:tcBorders>
              <w:tl2br w:val="nil"/>
              <w:tr2bl w:val="nil"/>
            </w:tcBorders>
            <w:vAlign w:val="center"/>
          </w:tcPr>
          <w:p w14:paraId="29263C5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41DDF2D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5E012E2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350" w:type="dxa"/>
            <w:tcBorders>
              <w:tl2br w:val="nil"/>
              <w:tr2bl w:val="nil"/>
            </w:tcBorders>
            <w:vAlign w:val="center"/>
          </w:tcPr>
          <w:p w14:paraId="07AC78E3">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地表水监测</w:t>
            </w:r>
          </w:p>
        </w:tc>
        <w:tc>
          <w:tcPr>
            <w:tcW w:w="1641" w:type="dxa"/>
            <w:tcBorders>
              <w:tl2br w:val="nil"/>
              <w:tr2bl w:val="nil"/>
            </w:tcBorders>
            <w:vAlign w:val="center"/>
          </w:tcPr>
          <w:p w14:paraId="61EE1B5E">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16次</w:t>
            </w:r>
          </w:p>
        </w:tc>
        <w:tc>
          <w:tcPr>
            <w:tcW w:w="901" w:type="dxa"/>
            <w:vMerge w:val="continue"/>
            <w:tcBorders>
              <w:tl2br w:val="nil"/>
              <w:tr2bl w:val="nil"/>
            </w:tcBorders>
            <w:vAlign w:val="center"/>
          </w:tcPr>
          <w:p w14:paraId="002A1652">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3FC3E93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2E13D8AE">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hint="eastAsia" w:ascii="Times New Roman" w:hAnsi="Times New Roman" w:cs="Times New Roman" w:eastAsiaTheme="minorEastAsia"/>
                <w:color w:val="000000" w:themeColor="text1"/>
                <w:kern w:val="0"/>
                <w:sz w:val="24"/>
                <w:szCs w:val="24"/>
                <w:lang w:val="en-US" w:eastAsia="zh-CN"/>
              </w:rPr>
              <w:t>0.80</w:t>
            </w:r>
          </w:p>
        </w:tc>
      </w:tr>
      <w:tr w14:paraId="1026B86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7" w:type="dxa"/>
            <w:vMerge w:val="continue"/>
            <w:tcBorders>
              <w:tl2br w:val="nil"/>
              <w:tr2bl w:val="nil"/>
            </w:tcBorders>
            <w:vAlign w:val="center"/>
          </w:tcPr>
          <w:p w14:paraId="6D0CE62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831" w:type="dxa"/>
            <w:vMerge w:val="continue"/>
            <w:tcBorders>
              <w:tl2br w:val="nil"/>
              <w:tr2bl w:val="nil"/>
            </w:tcBorders>
            <w:vAlign w:val="center"/>
          </w:tcPr>
          <w:p w14:paraId="08C8A075">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430FF34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260" w:type="dxa"/>
            <w:vMerge w:val="continue"/>
            <w:tcBorders>
              <w:tl2br w:val="nil"/>
              <w:tr2bl w:val="nil"/>
            </w:tcBorders>
            <w:vAlign w:val="center"/>
          </w:tcPr>
          <w:p w14:paraId="7812651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350" w:type="dxa"/>
            <w:tcBorders>
              <w:tl2br w:val="nil"/>
              <w:tr2bl w:val="nil"/>
            </w:tcBorders>
            <w:vAlign w:val="center"/>
          </w:tcPr>
          <w:p w14:paraId="3BB0C18A">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地形地貌景观监测</w:t>
            </w:r>
          </w:p>
        </w:tc>
        <w:tc>
          <w:tcPr>
            <w:tcW w:w="1641" w:type="dxa"/>
            <w:tcBorders>
              <w:tl2br w:val="nil"/>
              <w:tr2bl w:val="nil"/>
            </w:tcBorders>
            <w:vAlign w:val="center"/>
          </w:tcPr>
          <w:p w14:paraId="019E971C">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4次</w:t>
            </w:r>
          </w:p>
        </w:tc>
        <w:tc>
          <w:tcPr>
            <w:tcW w:w="901" w:type="dxa"/>
            <w:vMerge w:val="continue"/>
            <w:tcBorders>
              <w:tl2br w:val="nil"/>
              <w:tr2bl w:val="nil"/>
            </w:tcBorders>
            <w:vAlign w:val="center"/>
          </w:tcPr>
          <w:p w14:paraId="3AE8F0DA">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771" w:type="dxa"/>
            <w:vMerge w:val="continue"/>
            <w:tcBorders>
              <w:tl2br w:val="nil"/>
              <w:tr2bl w:val="nil"/>
            </w:tcBorders>
            <w:vAlign w:val="center"/>
          </w:tcPr>
          <w:p w14:paraId="2EE6FC9B">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p>
        </w:tc>
        <w:tc>
          <w:tcPr>
            <w:tcW w:w="1068" w:type="dxa"/>
            <w:tcBorders>
              <w:tl2br w:val="nil"/>
              <w:tr2bl w:val="nil"/>
            </w:tcBorders>
            <w:vAlign w:val="center"/>
          </w:tcPr>
          <w:p w14:paraId="6DE7FE74">
            <w:pPr>
              <w:widowControl/>
              <w:adjustRightInd w:val="0"/>
              <w:snapToGrid w:val="0"/>
              <w:spacing w:line="240" w:lineRule="auto"/>
              <w:jc w:val="center"/>
              <w:rPr>
                <w:rFonts w:ascii="Times New Roman" w:hAnsi="Times New Roman" w:cs="Times New Roman" w:eastAsiaTheme="minorEastAsia"/>
                <w:color w:val="000000" w:themeColor="text1"/>
                <w:kern w:val="0"/>
                <w:sz w:val="24"/>
                <w:szCs w:val="24"/>
              </w:rPr>
            </w:pPr>
            <w:r>
              <w:rPr>
                <w:rFonts w:ascii="Times New Roman" w:hAnsi="Times New Roman" w:cs="Times New Roman" w:eastAsiaTheme="minorEastAsia"/>
                <w:color w:val="000000" w:themeColor="text1"/>
                <w:kern w:val="0"/>
                <w:sz w:val="24"/>
                <w:szCs w:val="24"/>
              </w:rPr>
              <w:t>0.</w:t>
            </w:r>
            <w:r>
              <w:rPr>
                <w:rFonts w:hint="eastAsia" w:ascii="Times New Roman" w:hAnsi="Times New Roman" w:cs="Times New Roman" w:eastAsiaTheme="minorEastAsia"/>
                <w:color w:val="000000" w:themeColor="text1"/>
                <w:kern w:val="0"/>
                <w:sz w:val="24"/>
                <w:szCs w:val="24"/>
                <w:lang w:val="en-US" w:eastAsia="zh-CN"/>
              </w:rPr>
              <w:t>20</w:t>
            </w:r>
          </w:p>
        </w:tc>
      </w:tr>
    </w:tbl>
    <w:p w14:paraId="6666E9C9">
      <w:pPr>
        <w:tabs>
          <w:tab w:val="left" w:pos="3403"/>
        </w:tabs>
        <w:spacing w:before="28"/>
        <w:ind w:left="2" w:right="44"/>
        <w:jc w:val="center"/>
        <w:rPr>
          <w:rFonts w:ascii="Times New Roman" w:hAnsi="Times New Roman" w:cs="Times New Roman"/>
          <w:b/>
          <w:color w:val="000000" w:themeColor="text1"/>
          <w:sz w:val="24"/>
          <w:szCs w:val="24"/>
          <w:highlight w:val="yellow"/>
        </w:rPr>
      </w:pPr>
    </w:p>
    <w:p w14:paraId="46C184D5">
      <w:pPr>
        <w:tabs>
          <w:tab w:val="left" w:pos="3403"/>
        </w:tabs>
        <w:spacing w:before="28"/>
        <w:ind w:left="2" w:right="44"/>
        <w:jc w:val="center"/>
        <w:rPr>
          <w:rFonts w:ascii="Times New Roman" w:hAnsi="Times New Roman" w:cs="Times New Roman"/>
          <w:b/>
          <w:color w:val="000000" w:themeColor="text1"/>
          <w:sz w:val="24"/>
          <w:szCs w:val="24"/>
          <w:highlight w:val="yellow"/>
        </w:rPr>
        <w:sectPr>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p>
    <w:p w14:paraId="3C124AA2">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表6-2</w:t>
      </w:r>
      <w:r>
        <w:rPr>
          <w:rFonts w:hint="eastAsia" w:ascii="Times New Roman" w:hAnsi="Times New Roman" w:cs="Times New Roman"/>
          <w:b/>
          <w:color w:val="000000" w:themeColor="text1"/>
          <w:sz w:val="24"/>
          <w:szCs w:val="24"/>
          <w:lang w:val="en-US" w:eastAsia="zh-CN"/>
        </w:rPr>
        <w:t xml:space="preserve">6 </w:t>
      </w:r>
      <w:r>
        <w:rPr>
          <w:rFonts w:ascii="Times New Roman" w:hAnsi="Times New Roman" w:cs="Times New Roman"/>
          <w:b/>
          <w:color w:val="000000" w:themeColor="text1"/>
          <w:sz w:val="24"/>
          <w:szCs w:val="24"/>
        </w:rPr>
        <w:t>矿区生态修复工程量与经费安排表 费用单位：万元</w:t>
      </w:r>
    </w:p>
    <w:tbl>
      <w:tblPr>
        <w:tblStyle w:val="42"/>
        <w:tblW w:w="5028" w:type="pct"/>
        <w:tblInd w:w="0" w:type="dxa"/>
        <w:tblLayout w:type="fixed"/>
        <w:tblCellMar>
          <w:top w:w="0" w:type="dxa"/>
          <w:left w:w="0" w:type="dxa"/>
          <w:bottom w:w="0" w:type="dxa"/>
          <w:right w:w="0" w:type="dxa"/>
        </w:tblCellMar>
      </w:tblPr>
      <w:tblGrid>
        <w:gridCol w:w="452"/>
        <w:gridCol w:w="668"/>
        <w:gridCol w:w="1666"/>
        <w:gridCol w:w="751"/>
        <w:gridCol w:w="785"/>
        <w:gridCol w:w="882"/>
        <w:gridCol w:w="1263"/>
        <w:gridCol w:w="775"/>
        <w:gridCol w:w="713"/>
        <w:gridCol w:w="745"/>
        <w:gridCol w:w="983"/>
        <w:gridCol w:w="662"/>
        <w:gridCol w:w="741"/>
        <w:gridCol w:w="752"/>
        <w:gridCol w:w="941"/>
        <w:gridCol w:w="655"/>
        <w:gridCol w:w="677"/>
      </w:tblGrid>
      <w:tr w14:paraId="7E7447D5">
        <w:tblPrEx>
          <w:tblCellMar>
            <w:top w:w="0" w:type="dxa"/>
            <w:left w:w="0" w:type="dxa"/>
            <w:bottom w:w="0" w:type="dxa"/>
            <w:right w:w="0" w:type="dxa"/>
          </w:tblCellMar>
        </w:tblPrEx>
        <w:trPr>
          <w:trHeight w:val="23" w:hRule="atLeast"/>
        </w:trPr>
        <w:tc>
          <w:tcPr>
            <w:tcW w:w="452" w:type="dxa"/>
            <w:vMerge w:val="restart"/>
            <w:tcBorders>
              <w:top w:val="single" w:color="000000" w:sz="12" w:space="0"/>
              <w:left w:val="single" w:color="000000" w:sz="12" w:space="0"/>
              <w:right w:val="single" w:color="000000" w:sz="4" w:space="0"/>
            </w:tcBorders>
            <w:vAlign w:val="center"/>
          </w:tcPr>
          <w:p w14:paraId="33DA0DE2">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序号</w:t>
            </w:r>
          </w:p>
        </w:tc>
        <w:tc>
          <w:tcPr>
            <w:tcW w:w="667" w:type="dxa"/>
            <w:vMerge w:val="restart"/>
            <w:tcBorders>
              <w:top w:val="single" w:color="000000" w:sz="12" w:space="0"/>
              <w:left w:val="single" w:color="000000" w:sz="4" w:space="0"/>
              <w:right w:val="single" w:color="000000" w:sz="4" w:space="0"/>
            </w:tcBorders>
            <w:vAlign w:val="center"/>
          </w:tcPr>
          <w:p w14:paraId="7E37E2E9">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生态修复区块</w:t>
            </w:r>
          </w:p>
        </w:tc>
        <w:tc>
          <w:tcPr>
            <w:tcW w:w="1663" w:type="dxa"/>
            <w:vMerge w:val="restart"/>
            <w:tcBorders>
              <w:top w:val="single" w:color="000000" w:sz="12" w:space="0"/>
              <w:left w:val="single" w:color="000000" w:sz="4" w:space="0"/>
              <w:right w:val="single" w:color="auto" w:sz="4" w:space="0"/>
            </w:tcBorders>
            <w:vAlign w:val="center"/>
          </w:tcPr>
          <w:p w14:paraId="380CDE2A">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范围</w:t>
            </w:r>
          </w:p>
          <w:p w14:paraId="777F9D56">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（拐点坐标）</w:t>
            </w:r>
          </w:p>
        </w:tc>
        <w:tc>
          <w:tcPr>
            <w:tcW w:w="749" w:type="dxa"/>
            <w:vMerge w:val="restart"/>
            <w:tcBorders>
              <w:top w:val="single" w:color="000000" w:sz="12" w:space="0"/>
              <w:left w:val="single" w:color="auto" w:sz="4" w:space="0"/>
              <w:right w:val="single" w:color="000000" w:sz="4" w:space="0"/>
            </w:tcBorders>
            <w:shd w:val="clear" w:color="auto" w:fill="auto"/>
            <w:vAlign w:val="center"/>
          </w:tcPr>
          <w:p w14:paraId="2534C567">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生态修复面积</w:t>
            </w:r>
          </w:p>
        </w:tc>
        <w:tc>
          <w:tcPr>
            <w:tcW w:w="783" w:type="dxa"/>
            <w:vMerge w:val="restart"/>
            <w:tcBorders>
              <w:top w:val="single" w:color="000000" w:sz="12" w:space="0"/>
              <w:left w:val="single" w:color="000000" w:sz="4" w:space="0"/>
              <w:right w:val="single" w:color="000000" w:sz="4" w:space="0"/>
            </w:tcBorders>
            <w:vAlign w:val="center"/>
          </w:tcPr>
          <w:p w14:paraId="7561A35E">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主要治理修复问题</w:t>
            </w:r>
          </w:p>
        </w:tc>
        <w:tc>
          <w:tcPr>
            <w:tcW w:w="3625" w:type="dxa"/>
            <w:gridSpan w:val="4"/>
            <w:tcBorders>
              <w:top w:val="single" w:color="000000" w:sz="12" w:space="0"/>
              <w:left w:val="single" w:color="000000" w:sz="4" w:space="0"/>
              <w:bottom w:val="single" w:color="000000" w:sz="4" w:space="0"/>
              <w:right w:val="single" w:color="000000" w:sz="4" w:space="0"/>
            </w:tcBorders>
            <w:vAlign w:val="center"/>
          </w:tcPr>
          <w:p w14:paraId="620075E7">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保护与预防控制工程</w:t>
            </w:r>
          </w:p>
        </w:tc>
        <w:tc>
          <w:tcPr>
            <w:tcW w:w="3124" w:type="dxa"/>
            <w:gridSpan w:val="4"/>
            <w:tcBorders>
              <w:top w:val="single" w:color="000000" w:sz="12" w:space="0"/>
              <w:left w:val="single" w:color="000000" w:sz="4" w:space="0"/>
              <w:bottom w:val="single" w:color="000000" w:sz="4" w:space="0"/>
              <w:right w:val="single" w:color="000000" w:sz="4" w:space="0"/>
            </w:tcBorders>
            <w:vAlign w:val="center"/>
          </w:tcPr>
          <w:p w14:paraId="4695C37E">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修复工程</w:t>
            </w:r>
          </w:p>
        </w:tc>
        <w:tc>
          <w:tcPr>
            <w:tcW w:w="3019" w:type="dxa"/>
            <w:gridSpan w:val="4"/>
            <w:tcBorders>
              <w:top w:val="single" w:color="000000" w:sz="12" w:space="0"/>
              <w:left w:val="single" w:color="000000" w:sz="4" w:space="0"/>
              <w:bottom w:val="single" w:color="000000" w:sz="4" w:space="0"/>
              <w:right w:val="single" w:color="000000" w:sz="12" w:space="0"/>
            </w:tcBorders>
            <w:vAlign w:val="center"/>
          </w:tcPr>
          <w:p w14:paraId="2B9A5E44">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监测与管护工程</w:t>
            </w:r>
          </w:p>
        </w:tc>
      </w:tr>
      <w:tr w14:paraId="68AFDDD2">
        <w:tblPrEx>
          <w:tblCellMar>
            <w:top w:w="0" w:type="dxa"/>
            <w:left w:w="0" w:type="dxa"/>
            <w:bottom w:w="0" w:type="dxa"/>
            <w:right w:w="0" w:type="dxa"/>
          </w:tblCellMar>
        </w:tblPrEx>
        <w:trPr>
          <w:trHeight w:val="23" w:hRule="atLeast"/>
        </w:trPr>
        <w:tc>
          <w:tcPr>
            <w:tcW w:w="452" w:type="dxa"/>
            <w:vMerge w:val="continue"/>
            <w:tcBorders>
              <w:left w:val="single" w:color="000000" w:sz="12" w:space="0"/>
              <w:bottom w:val="single" w:color="000000" w:sz="4" w:space="0"/>
              <w:right w:val="single" w:color="000000" w:sz="4" w:space="0"/>
            </w:tcBorders>
            <w:vAlign w:val="center"/>
          </w:tcPr>
          <w:p w14:paraId="0D352A23">
            <w:pPr>
              <w:widowControl/>
              <w:adjustRightInd w:val="0"/>
              <w:snapToGrid w:val="0"/>
              <w:spacing w:line="240" w:lineRule="auto"/>
              <w:jc w:val="center"/>
              <w:rPr>
                <w:rFonts w:ascii="Times New Roman" w:hAnsi="Times New Roman" w:cs="Times New Roman" w:eastAsiaTheme="minorEastAsia"/>
                <w:color w:val="000000" w:themeColor="text1"/>
                <w:kern w:val="0"/>
              </w:rPr>
            </w:pPr>
          </w:p>
        </w:tc>
        <w:tc>
          <w:tcPr>
            <w:tcW w:w="667" w:type="dxa"/>
            <w:vMerge w:val="continue"/>
            <w:tcBorders>
              <w:left w:val="single" w:color="000000" w:sz="4" w:space="0"/>
              <w:bottom w:val="single" w:color="000000" w:sz="4" w:space="0"/>
              <w:right w:val="single" w:color="000000" w:sz="4" w:space="0"/>
            </w:tcBorders>
            <w:vAlign w:val="center"/>
          </w:tcPr>
          <w:p w14:paraId="2B85557C">
            <w:pPr>
              <w:widowControl/>
              <w:adjustRightInd w:val="0"/>
              <w:snapToGrid w:val="0"/>
              <w:spacing w:line="240" w:lineRule="auto"/>
              <w:jc w:val="center"/>
              <w:rPr>
                <w:rFonts w:ascii="Times New Roman" w:hAnsi="Times New Roman" w:cs="Times New Roman" w:eastAsiaTheme="minorEastAsia"/>
                <w:color w:val="000000" w:themeColor="text1"/>
                <w:kern w:val="0"/>
              </w:rPr>
            </w:pPr>
          </w:p>
        </w:tc>
        <w:tc>
          <w:tcPr>
            <w:tcW w:w="1663" w:type="dxa"/>
            <w:vMerge w:val="continue"/>
            <w:tcBorders>
              <w:left w:val="single" w:color="000000" w:sz="4" w:space="0"/>
              <w:bottom w:val="single" w:color="000000" w:sz="4" w:space="0"/>
              <w:right w:val="single" w:color="auto" w:sz="4" w:space="0"/>
            </w:tcBorders>
            <w:vAlign w:val="center"/>
          </w:tcPr>
          <w:p w14:paraId="476CA28C">
            <w:pPr>
              <w:widowControl/>
              <w:adjustRightInd w:val="0"/>
              <w:snapToGrid w:val="0"/>
              <w:spacing w:line="240" w:lineRule="auto"/>
              <w:jc w:val="center"/>
              <w:rPr>
                <w:rFonts w:ascii="Times New Roman" w:hAnsi="Times New Roman" w:cs="Times New Roman" w:eastAsiaTheme="minorEastAsia"/>
                <w:color w:val="000000" w:themeColor="text1"/>
                <w:kern w:val="0"/>
              </w:rPr>
            </w:pPr>
          </w:p>
        </w:tc>
        <w:tc>
          <w:tcPr>
            <w:tcW w:w="749" w:type="dxa"/>
            <w:vMerge w:val="continue"/>
            <w:tcBorders>
              <w:left w:val="single" w:color="auto" w:sz="4" w:space="0"/>
              <w:bottom w:val="single" w:color="000000" w:sz="4" w:space="0"/>
              <w:right w:val="single" w:color="000000" w:sz="4" w:space="0"/>
            </w:tcBorders>
            <w:vAlign w:val="center"/>
          </w:tcPr>
          <w:p w14:paraId="295933ED">
            <w:pPr>
              <w:widowControl/>
              <w:adjustRightInd w:val="0"/>
              <w:snapToGrid w:val="0"/>
              <w:spacing w:line="240" w:lineRule="auto"/>
              <w:jc w:val="center"/>
              <w:rPr>
                <w:rFonts w:ascii="Times New Roman" w:hAnsi="Times New Roman" w:cs="Times New Roman" w:eastAsiaTheme="minorEastAsia"/>
                <w:color w:val="000000" w:themeColor="text1"/>
                <w:kern w:val="0"/>
              </w:rPr>
            </w:pPr>
          </w:p>
        </w:tc>
        <w:tc>
          <w:tcPr>
            <w:tcW w:w="783" w:type="dxa"/>
            <w:vMerge w:val="continue"/>
            <w:tcBorders>
              <w:left w:val="single" w:color="000000" w:sz="4" w:space="0"/>
              <w:bottom w:val="single" w:color="000000" w:sz="4" w:space="0"/>
              <w:right w:val="single" w:color="000000" w:sz="4" w:space="0"/>
            </w:tcBorders>
            <w:vAlign w:val="center"/>
          </w:tcPr>
          <w:p w14:paraId="4DEAAE03">
            <w:pPr>
              <w:widowControl/>
              <w:adjustRightInd w:val="0"/>
              <w:snapToGrid w:val="0"/>
              <w:spacing w:line="240" w:lineRule="auto"/>
              <w:jc w:val="center"/>
              <w:rPr>
                <w:rFonts w:ascii="Times New Roman" w:hAnsi="Times New Roman" w:cs="Times New Roman" w:eastAsiaTheme="minorEastAsia"/>
                <w:color w:val="000000" w:themeColor="text1"/>
                <w:kern w:val="0"/>
              </w:rPr>
            </w:pPr>
          </w:p>
        </w:tc>
        <w:tc>
          <w:tcPr>
            <w:tcW w:w="880" w:type="dxa"/>
            <w:tcBorders>
              <w:top w:val="single" w:color="000000" w:sz="4" w:space="0"/>
              <w:left w:val="single" w:color="000000" w:sz="4" w:space="0"/>
              <w:bottom w:val="single" w:color="000000" w:sz="4" w:space="0"/>
              <w:right w:val="single" w:color="000000" w:sz="4" w:space="0"/>
            </w:tcBorders>
            <w:vAlign w:val="center"/>
          </w:tcPr>
          <w:p w14:paraId="7D4E1F7B">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保护措施</w:t>
            </w:r>
          </w:p>
        </w:tc>
        <w:tc>
          <w:tcPr>
            <w:tcW w:w="1260" w:type="dxa"/>
            <w:tcBorders>
              <w:top w:val="single" w:color="000000" w:sz="4" w:space="0"/>
              <w:left w:val="single" w:color="000000" w:sz="4" w:space="0"/>
              <w:bottom w:val="single" w:color="000000" w:sz="4" w:space="0"/>
              <w:right w:val="single" w:color="000000" w:sz="4" w:space="0"/>
            </w:tcBorders>
            <w:vAlign w:val="center"/>
          </w:tcPr>
          <w:p w14:paraId="56280C8F">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工程量</w:t>
            </w:r>
          </w:p>
        </w:tc>
        <w:tc>
          <w:tcPr>
            <w:tcW w:w="773" w:type="dxa"/>
            <w:tcBorders>
              <w:top w:val="single" w:color="000000" w:sz="4" w:space="0"/>
              <w:left w:val="single" w:color="000000" w:sz="4" w:space="0"/>
              <w:bottom w:val="single" w:color="000000" w:sz="4" w:space="0"/>
              <w:right w:val="single" w:color="000000" w:sz="4" w:space="0"/>
            </w:tcBorders>
            <w:vAlign w:val="center"/>
          </w:tcPr>
          <w:p w14:paraId="23C977A1">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费用</w:t>
            </w:r>
          </w:p>
        </w:tc>
        <w:tc>
          <w:tcPr>
            <w:tcW w:w="712" w:type="dxa"/>
            <w:tcBorders>
              <w:top w:val="single" w:color="000000" w:sz="4" w:space="0"/>
              <w:left w:val="single" w:color="000000" w:sz="4" w:space="0"/>
              <w:bottom w:val="single" w:color="000000" w:sz="4" w:space="0"/>
              <w:right w:val="single" w:color="000000" w:sz="4" w:space="0"/>
            </w:tcBorders>
            <w:vAlign w:val="center"/>
          </w:tcPr>
          <w:p w14:paraId="1E21AD1D">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实施时间</w:t>
            </w:r>
          </w:p>
        </w:tc>
        <w:tc>
          <w:tcPr>
            <w:tcW w:w="743" w:type="dxa"/>
            <w:tcBorders>
              <w:top w:val="single" w:color="000000" w:sz="4" w:space="0"/>
              <w:left w:val="single" w:color="000000" w:sz="4" w:space="0"/>
              <w:bottom w:val="single" w:color="000000" w:sz="4" w:space="0"/>
              <w:right w:val="single" w:color="000000" w:sz="4" w:space="0"/>
            </w:tcBorders>
            <w:vAlign w:val="center"/>
          </w:tcPr>
          <w:p w14:paraId="29753382">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修复措施</w:t>
            </w:r>
          </w:p>
        </w:tc>
        <w:tc>
          <w:tcPr>
            <w:tcW w:w="981" w:type="dxa"/>
            <w:tcBorders>
              <w:top w:val="single" w:color="000000" w:sz="4" w:space="0"/>
              <w:left w:val="single" w:color="000000" w:sz="4" w:space="0"/>
              <w:bottom w:val="single" w:color="000000" w:sz="4" w:space="0"/>
              <w:right w:val="single" w:color="000000" w:sz="4" w:space="0"/>
            </w:tcBorders>
            <w:vAlign w:val="center"/>
          </w:tcPr>
          <w:p w14:paraId="5C216D97">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工程量</w:t>
            </w:r>
          </w:p>
        </w:tc>
        <w:tc>
          <w:tcPr>
            <w:tcW w:w="661" w:type="dxa"/>
            <w:tcBorders>
              <w:top w:val="single" w:color="000000" w:sz="4" w:space="0"/>
              <w:left w:val="single" w:color="000000" w:sz="4" w:space="0"/>
              <w:bottom w:val="single" w:color="000000" w:sz="4" w:space="0"/>
              <w:right w:val="single" w:color="000000" w:sz="4" w:space="0"/>
            </w:tcBorders>
            <w:vAlign w:val="center"/>
          </w:tcPr>
          <w:p w14:paraId="256FB605">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费用</w:t>
            </w:r>
          </w:p>
        </w:tc>
        <w:tc>
          <w:tcPr>
            <w:tcW w:w="739" w:type="dxa"/>
            <w:tcBorders>
              <w:top w:val="single" w:color="000000" w:sz="4" w:space="0"/>
              <w:left w:val="single" w:color="000000" w:sz="4" w:space="0"/>
              <w:bottom w:val="single" w:color="000000" w:sz="4" w:space="0"/>
              <w:right w:val="single" w:color="000000" w:sz="4" w:space="0"/>
            </w:tcBorders>
            <w:vAlign w:val="center"/>
          </w:tcPr>
          <w:p w14:paraId="785DEA55">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实施时间</w:t>
            </w:r>
          </w:p>
        </w:tc>
        <w:tc>
          <w:tcPr>
            <w:tcW w:w="750" w:type="dxa"/>
            <w:tcBorders>
              <w:top w:val="single" w:color="000000" w:sz="4" w:space="0"/>
              <w:left w:val="single" w:color="000000" w:sz="4" w:space="0"/>
              <w:bottom w:val="single" w:color="000000" w:sz="4" w:space="0"/>
              <w:right w:val="single" w:color="000000" w:sz="4" w:space="0"/>
            </w:tcBorders>
            <w:vAlign w:val="center"/>
          </w:tcPr>
          <w:p w14:paraId="3BD87168">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监测措施</w:t>
            </w:r>
          </w:p>
        </w:tc>
        <w:tc>
          <w:tcPr>
            <w:tcW w:w="939" w:type="dxa"/>
            <w:tcBorders>
              <w:top w:val="single" w:color="000000" w:sz="4" w:space="0"/>
              <w:left w:val="single" w:color="000000" w:sz="4" w:space="0"/>
              <w:bottom w:val="single" w:color="000000" w:sz="4" w:space="0"/>
              <w:right w:val="single" w:color="000000" w:sz="4" w:space="0"/>
            </w:tcBorders>
            <w:vAlign w:val="center"/>
          </w:tcPr>
          <w:p w14:paraId="030149B5">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工程量</w:t>
            </w:r>
          </w:p>
        </w:tc>
        <w:tc>
          <w:tcPr>
            <w:tcW w:w="654" w:type="dxa"/>
            <w:tcBorders>
              <w:top w:val="single" w:color="000000" w:sz="4" w:space="0"/>
              <w:left w:val="single" w:color="000000" w:sz="4" w:space="0"/>
              <w:bottom w:val="single" w:color="000000" w:sz="4" w:space="0"/>
              <w:right w:val="single" w:color="000000" w:sz="4" w:space="0"/>
            </w:tcBorders>
            <w:vAlign w:val="center"/>
          </w:tcPr>
          <w:p w14:paraId="4089656E">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费用</w:t>
            </w:r>
          </w:p>
        </w:tc>
        <w:tc>
          <w:tcPr>
            <w:tcW w:w="676" w:type="dxa"/>
            <w:tcBorders>
              <w:top w:val="single" w:color="000000" w:sz="4" w:space="0"/>
              <w:left w:val="single" w:color="000000" w:sz="4" w:space="0"/>
              <w:bottom w:val="single" w:color="000000" w:sz="4" w:space="0"/>
              <w:right w:val="single" w:color="000000" w:sz="12" w:space="0"/>
            </w:tcBorders>
            <w:vAlign w:val="center"/>
          </w:tcPr>
          <w:p w14:paraId="3E652956">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实施时间</w:t>
            </w:r>
          </w:p>
        </w:tc>
      </w:tr>
      <w:tr w14:paraId="13049E4E">
        <w:tblPrEx>
          <w:tblCellMar>
            <w:top w:w="0" w:type="dxa"/>
            <w:left w:w="0" w:type="dxa"/>
            <w:bottom w:w="0" w:type="dxa"/>
            <w:right w:w="0" w:type="dxa"/>
          </w:tblCellMar>
        </w:tblPrEx>
        <w:trPr>
          <w:trHeight w:val="23" w:hRule="atLeast"/>
        </w:trPr>
        <w:tc>
          <w:tcPr>
            <w:tcW w:w="452" w:type="dxa"/>
            <w:tcBorders>
              <w:top w:val="single" w:color="000000" w:sz="4" w:space="0"/>
              <w:left w:val="single" w:color="000000" w:sz="12" w:space="0"/>
              <w:bottom w:val="single" w:color="000000" w:sz="4" w:space="0"/>
              <w:right w:val="single" w:color="000000" w:sz="4" w:space="0"/>
            </w:tcBorders>
            <w:vAlign w:val="center"/>
          </w:tcPr>
          <w:p w14:paraId="7E34356B">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1</w:t>
            </w:r>
          </w:p>
        </w:tc>
        <w:tc>
          <w:tcPr>
            <w:tcW w:w="667" w:type="dxa"/>
            <w:tcBorders>
              <w:top w:val="single" w:color="000000" w:sz="4" w:space="0"/>
              <w:left w:val="single" w:color="000000" w:sz="4" w:space="0"/>
              <w:bottom w:val="single" w:color="000000" w:sz="4" w:space="0"/>
              <w:right w:val="single" w:color="000000" w:sz="4" w:space="0"/>
            </w:tcBorders>
            <w:vAlign w:val="center"/>
          </w:tcPr>
          <w:p w14:paraId="50D2DF73">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露天采场</w:t>
            </w:r>
            <w:r>
              <w:rPr>
                <w:rFonts w:hint="eastAsia" w:ascii="Times New Roman" w:hAnsi="Times New Roman" w:cs="Times New Roman" w:eastAsiaTheme="minorEastAsia"/>
                <w:color w:val="000000" w:themeColor="text1"/>
                <w:kern w:val="0"/>
              </w:rPr>
              <w:t>和排土场</w:t>
            </w:r>
          </w:p>
        </w:tc>
        <w:tc>
          <w:tcPr>
            <w:tcW w:w="1663" w:type="dxa"/>
            <w:tcBorders>
              <w:top w:val="single" w:color="000000" w:sz="4" w:space="0"/>
              <w:left w:val="single" w:color="000000" w:sz="4" w:space="0"/>
              <w:bottom w:val="single" w:color="000000" w:sz="4" w:space="0"/>
              <w:right w:val="single" w:color="auto" w:sz="4" w:space="0"/>
            </w:tcBorders>
            <w:vAlign w:val="center"/>
          </w:tcPr>
          <w:p w14:paraId="4577D183">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eastAsiaTheme="minorEastAsia"/>
                <w:color w:val="000000" w:themeColor="text1"/>
                <w:kern w:val="0"/>
              </w:rPr>
              <w:t>露天采场</w:t>
            </w:r>
          </w:p>
          <w:p w14:paraId="200BD800">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1,5025035.39 ,44456230.82 </w:t>
            </w:r>
          </w:p>
          <w:p w14:paraId="2542F64A">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2,5025066.17 ,44456333.76 </w:t>
            </w:r>
          </w:p>
          <w:p w14:paraId="35A4C67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3,5025068.26 ,44456485.16 </w:t>
            </w:r>
          </w:p>
          <w:p w14:paraId="5E43F924">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4,5024830.79 ,44456545.04 </w:t>
            </w:r>
          </w:p>
          <w:p w14:paraId="231946E9">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5,5024800.55 ,44456520.92 </w:t>
            </w:r>
          </w:p>
          <w:p w14:paraId="0EFDDA07">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6,5024710.58 ,44456447.46 </w:t>
            </w:r>
          </w:p>
          <w:p w14:paraId="74DA95C0">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7,5024648.67 ,44456354.01 </w:t>
            </w:r>
          </w:p>
          <w:p w14:paraId="283968B3">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8,5024629.24 ,44456312.06 </w:t>
            </w:r>
          </w:p>
          <w:p w14:paraId="31B0BA66">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9,5024552.60 ,44456265.50 </w:t>
            </w:r>
          </w:p>
          <w:p w14:paraId="412BF457">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10,5024554.20 ,44456195.54 </w:t>
            </w:r>
          </w:p>
          <w:p w14:paraId="3891E4DB">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11,5024576.29 ,44456126.51 </w:t>
            </w:r>
          </w:p>
          <w:p w14:paraId="3EB56F1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12,5024625.12 ,44456089.60 </w:t>
            </w:r>
          </w:p>
          <w:p w14:paraId="76AE797B">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13,5024670.49 ,44456085.95 </w:t>
            </w:r>
          </w:p>
          <w:p w14:paraId="1BA21D31">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14,5024815.41 ,44456092.88 </w:t>
            </w:r>
          </w:p>
          <w:p w14:paraId="7585D5EA">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15,5024866.34 ,44456139.88 </w:t>
            </w:r>
          </w:p>
          <w:p w14:paraId="1C01334F">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16,5024913.94 ,44456203.01 </w:t>
            </w:r>
          </w:p>
          <w:p w14:paraId="7EAA3066">
            <w:pPr>
              <w:widowControl/>
              <w:adjustRightInd w:val="0"/>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17,5024988.50 ,44456210.35</w:t>
            </w:r>
          </w:p>
          <w:p w14:paraId="101CE4D7">
            <w:pPr>
              <w:widowControl/>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eastAsiaTheme="minorEastAsia"/>
                <w:color w:val="000000" w:themeColor="text1"/>
                <w:kern w:val="0"/>
              </w:rPr>
              <w:t>排土场</w:t>
            </w:r>
          </w:p>
          <w:p w14:paraId="6365DCCC">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1,5025040.213 ,44456246.949 </w:t>
            </w:r>
          </w:p>
          <w:p w14:paraId="6288B2C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2,5025061.302 ,44456317.479 </w:t>
            </w:r>
          </w:p>
          <w:p w14:paraId="586F0291">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3,5025055.017 ,44456335.758 </w:t>
            </w:r>
          </w:p>
          <w:p w14:paraId="07ED2B66">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4,5025037.841 ,44456342.242 </w:t>
            </w:r>
          </w:p>
          <w:p w14:paraId="66F9161B">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5,5025022.226 ,44456332.567 </w:t>
            </w:r>
          </w:p>
          <w:p w14:paraId="1CA391B5">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6,5025013.091 ,44456300.032 </w:t>
            </w:r>
          </w:p>
          <w:p w14:paraId="499058E0">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7,5025007.473 ,44456256.752 </w:t>
            </w:r>
          </w:p>
          <w:p w14:paraId="78F9CD09">
            <w:pPr>
              <w:widowControl/>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8,5025017.173 ,44456248.058 </w:t>
            </w:r>
          </w:p>
          <w:p w14:paraId="54FE2638">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color w:val="000000" w:themeColor="text1"/>
                <w:kern w:val="0"/>
                <w:sz w:val="24"/>
                <w:szCs w:val="24"/>
              </w:rPr>
              <w:t>9,5025024.869 ,44456241.161</w:t>
            </w:r>
          </w:p>
        </w:tc>
        <w:tc>
          <w:tcPr>
            <w:tcW w:w="749" w:type="dxa"/>
            <w:tcBorders>
              <w:top w:val="single" w:color="000000" w:sz="4" w:space="0"/>
              <w:left w:val="single" w:color="auto" w:sz="4" w:space="0"/>
              <w:bottom w:val="single" w:color="000000" w:sz="4" w:space="0"/>
              <w:right w:val="single" w:color="000000" w:sz="4" w:space="0"/>
            </w:tcBorders>
            <w:shd w:val="clear" w:color="auto" w:fill="auto"/>
            <w:vAlign w:val="center"/>
          </w:tcPr>
          <w:p w14:paraId="09F9F2C0">
            <w:pPr>
              <w:widowControl/>
              <w:snapToGrid w:val="0"/>
              <w:jc w:val="center"/>
              <w:rPr>
                <w:rFonts w:hint="eastAsia" w:ascii="Times New Roman" w:hAnsi="Times New Roman" w:cs="Times New Roman"/>
                <w:color w:val="000000" w:themeColor="text1"/>
                <w:kern w:val="0"/>
              </w:rPr>
            </w:pPr>
            <w:r>
              <w:rPr>
                <w:rFonts w:hint="eastAsia" w:ascii="Times New Roman" w:hAnsi="Times New Roman" w:cs="Times New Roman"/>
                <w:color w:val="000000" w:themeColor="text1"/>
                <w:kern w:val="0"/>
              </w:rPr>
              <w:t>12.54</w:t>
            </w:r>
          </w:p>
          <w:p w14:paraId="56C7DA50">
            <w:pPr>
              <w:widowControl/>
              <w:snapToGrid w:val="0"/>
              <w:jc w:val="center"/>
              <w:rPr>
                <w:rFonts w:hint="eastAsia" w:ascii="Times New Roman" w:hAnsi="Times New Roman" w:eastAsia="宋体" w:cs="Times New Roman"/>
                <w:color w:val="000000" w:themeColor="text1"/>
                <w:kern w:val="0"/>
                <w:lang w:eastAsia="zh-CN"/>
              </w:rPr>
            </w:pPr>
            <w:r>
              <w:rPr>
                <w:rFonts w:ascii="Times New Roman" w:hAnsi="Times New Roman" w:cs="Times New Roman"/>
                <w:color w:val="000000" w:themeColor="text1"/>
                <w:kern w:val="0"/>
              </w:rPr>
              <w:t>h</w:t>
            </w:r>
            <w:r>
              <w:rPr>
                <w:rFonts w:hint="eastAsia" w:ascii="Times New Roman" w:hAnsi="Times New Roman" w:cs="Times New Roman"/>
                <w:color w:val="000000" w:themeColor="text1"/>
                <w:kern w:val="0"/>
                <w:lang w:eastAsia="zh-CN"/>
              </w:rPr>
              <w:t>m</w:t>
            </w:r>
            <w:r>
              <w:rPr>
                <w:rFonts w:hint="eastAsia" w:ascii="Times New Roman" w:hAnsi="Times New Roman" w:cs="Times New Roman"/>
                <w:strike w:val="0"/>
                <w:dstrike w:val="0"/>
                <w:color w:val="000000" w:themeColor="text1"/>
                <w:kern w:val="0"/>
                <w:vertAlign w:val="superscript"/>
                <w:lang w:eastAsia="zh-CN"/>
              </w:rPr>
              <w:t>2</w:t>
            </w:r>
          </w:p>
        </w:tc>
        <w:tc>
          <w:tcPr>
            <w:tcW w:w="783" w:type="dxa"/>
            <w:tcBorders>
              <w:top w:val="single" w:color="000000" w:sz="4" w:space="0"/>
              <w:left w:val="single" w:color="000000" w:sz="4" w:space="0"/>
              <w:bottom w:val="single" w:color="000000" w:sz="4" w:space="0"/>
              <w:right w:val="single" w:color="000000" w:sz="4" w:space="0"/>
            </w:tcBorders>
            <w:vAlign w:val="center"/>
          </w:tcPr>
          <w:p w14:paraId="3803F304">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地质环境影响、土地损毁、生态受损</w:t>
            </w:r>
          </w:p>
        </w:tc>
        <w:tc>
          <w:tcPr>
            <w:tcW w:w="880" w:type="dxa"/>
            <w:tcBorders>
              <w:top w:val="single" w:color="000000" w:sz="4" w:space="0"/>
              <w:left w:val="single" w:color="000000" w:sz="4" w:space="0"/>
              <w:bottom w:val="single" w:color="000000" w:sz="4" w:space="0"/>
              <w:right w:val="single" w:color="000000" w:sz="4" w:space="0"/>
            </w:tcBorders>
            <w:vAlign w:val="center"/>
          </w:tcPr>
          <w:p w14:paraId="580A1D5B">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警示牌、表土剥离</w:t>
            </w:r>
            <w:r>
              <w:rPr>
                <w:rFonts w:hint="eastAsia" w:ascii="Times New Roman" w:hAnsi="Times New Roman" w:cs="Times New Roman" w:eastAsiaTheme="minorEastAsia"/>
                <w:color w:val="000000" w:themeColor="text1"/>
                <w:kern w:val="0"/>
              </w:rPr>
              <w:t>、表土保护</w:t>
            </w:r>
          </w:p>
        </w:tc>
        <w:tc>
          <w:tcPr>
            <w:tcW w:w="1260" w:type="dxa"/>
            <w:tcBorders>
              <w:top w:val="single" w:color="000000" w:sz="4" w:space="0"/>
              <w:left w:val="single" w:color="000000" w:sz="4" w:space="0"/>
              <w:bottom w:val="single" w:color="000000" w:sz="4" w:space="0"/>
              <w:right w:val="single" w:color="000000" w:sz="4" w:space="0"/>
            </w:tcBorders>
            <w:vAlign w:val="center"/>
          </w:tcPr>
          <w:p w14:paraId="42083CB2">
            <w:pPr>
              <w:widowControl/>
              <w:adjustRightInd w:val="0"/>
              <w:snapToGrid w:val="0"/>
              <w:spacing w:line="240" w:lineRule="auto"/>
              <w:jc w:val="center"/>
              <w:rPr>
                <w:rFonts w:ascii="Times New Roman" w:hAnsi="Times New Roman" w:cs="Times New Roman" w:eastAsiaTheme="minorEastAsia"/>
                <w:color w:val="000000" w:themeColor="text1"/>
                <w:kern w:val="0"/>
                <w:vertAlign w:val="superscript"/>
              </w:rPr>
            </w:pPr>
            <w:r>
              <w:rPr>
                <w:rFonts w:ascii="Times New Roman" w:hAnsi="Times New Roman" w:cs="Times New Roman" w:eastAsiaTheme="minorEastAsia"/>
                <w:color w:val="000000" w:themeColor="text1"/>
                <w:kern w:val="0"/>
              </w:rPr>
              <w:t>设立警示牌13个、表土剥离</w:t>
            </w:r>
            <w:r>
              <w:rPr>
                <w:rFonts w:hint="eastAsia" w:ascii="Times New Roman" w:hAnsi="Times New Roman" w:cs="Times New Roman" w:eastAsiaTheme="minorEastAsia"/>
                <w:color w:val="000000" w:themeColor="text1"/>
                <w:kern w:val="0"/>
              </w:rPr>
              <w:t>2700</w:t>
            </w:r>
            <w:r>
              <w:rPr>
                <w:rFonts w:hint="eastAsia" w:ascii="Times New Roman" w:hAnsi="Times New Roman" w:cs="Times New Roman" w:eastAsiaTheme="minorEastAsia"/>
                <w:color w:val="000000" w:themeColor="text1"/>
                <w:kern w:val="0"/>
                <w:lang w:eastAsia="zh-CN"/>
              </w:rPr>
              <w:t>m</w:t>
            </w:r>
            <w:r>
              <w:rPr>
                <w:rFonts w:hint="eastAsia" w:ascii="Times New Roman" w:hAnsi="Times New Roman" w:cs="Times New Roman" w:eastAsiaTheme="minorEastAsia"/>
                <w:strike w:val="0"/>
                <w:dstrike w:val="0"/>
                <w:color w:val="000000" w:themeColor="text1"/>
                <w:kern w:val="0"/>
                <w:vertAlign w:val="superscript"/>
                <w:lang w:eastAsia="zh-CN"/>
              </w:rPr>
              <w:t>3</w:t>
            </w:r>
            <w:r>
              <w:rPr>
                <w:rFonts w:ascii="Times New Roman" w:hAnsi="Times New Roman" w:cs="Times New Roman" w:eastAsiaTheme="minorEastAsia"/>
                <w:color w:val="000000" w:themeColor="text1"/>
                <w:kern w:val="0"/>
              </w:rPr>
              <w:t>、</w:t>
            </w:r>
          </w:p>
          <w:p w14:paraId="43297CD6">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撒播种草0.13h</w:t>
            </w:r>
            <w:r>
              <w:rPr>
                <w:rFonts w:hint="eastAsia" w:ascii="Times New Roman" w:hAnsi="Times New Roman" w:cs="Times New Roman" w:eastAsiaTheme="minorEastAsia"/>
                <w:color w:val="000000" w:themeColor="text1"/>
                <w:kern w:val="0"/>
                <w:lang w:eastAsia="zh-CN"/>
              </w:rPr>
              <w:t>m</w:t>
            </w:r>
            <w:r>
              <w:rPr>
                <w:rFonts w:hint="eastAsia" w:ascii="Times New Roman" w:hAnsi="Times New Roman" w:cs="Times New Roman" w:eastAsiaTheme="minorEastAsia"/>
                <w:strike w:val="0"/>
                <w:dstrike w:val="0"/>
                <w:color w:val="000000" w:themeColor="text1"/>
                <w:kern w:val="0"/>
                <w:vertAlign w:val="superscript"/>
                <w:lang w:eastAsia="zh-CN"/>
              </w:rPr>
              <w:t>2</w:t>
            </w:r>
            <w:r>
              <w:rPr>
                <w:rFonts w:ascii="Times New Roman" w:hAnsi="Times New Roman" w:cs="Times New Roman" w:eastAsiaTheme="minorEastAsia"/>
                <w:color w:val="000000" w:themeColor="text1"/>
                <w:kern w:val="0"/>
              </w:rPr>
              <w:t>、</w:t>
            </w:r>
          </w:p>
          <w:p w14:paraId="2F9568D9">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石笼挡墙土方开挖105</w:t>
            </w:r>
            <w:r>
              <w:rPr>
                <w:rFonts w:hint="eastAsia" w:ascii="Times New Roman" w:hAnsi="Times New Roman" w:cs="Times New Roman" w:eastAsiaTheme="minorEastAsia"/>
                <w:color w:val="000000" w:themeColor="text1"/>
                <w:kern w:val="0"/>
                <w:lang w:eastAsia="zh-CN"/>
              </w:rPr>
              <w:t>m</w:t>
            </w:r>
            <w:r>
              <w:rPr>
                <w:rFonts w:hint="eastAsia" w:ascii="Times New Roman" w:hAnsi="Times New Roman" w:cs="Times New Roman" w:eastAsiaTheme="minorEastAsia"/>
                <w:strike w:val="0"/>
                <w:dstrike w:val="0"/>
                <w:color w:val="000000" w:themeColor="text1"/>
                <w:kern w:val="0"/>
                <w:vertAlign w:val="superscript"/>
                <w:lang w:eastAsia="zh-CN"/>
              </w:rPr>
              <w:t>3</w:t>
            </w:r>
            <w:r>
              <w:rPr>
                <w:rFonts w:ascii="Times New Roman" w:hAnsi="Times New Roman" w:cs="Times New Roman" w:eastAsiaTheme="minorEastAsia"/>
                <w:color w:val="000000" w:themeColor="text1"/>
                <w:kern w:val="0"/>
              </w:rPr>
              <w:t>、</w:t>
            </w:r>
          </w:p>
          <w:p w14:paraId="680C169E">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石笼挡墙体积455</w:t>
            </w:r>
            <w:r>
              <w:rPr>
                <w:rFonts w:hint="eastAsia" w:ascii="Times New Roman" w:hAnsi="Times New Roman" w:cs="Times New Roman" w:eastAsiaTheme="minorEastAsia"/>
                <w:color w:val="000000" w:themeColor="text1"/>
                <w:kern w:val="0"/>
                <w:lang w:eastAsia="zh-CN"/>
              </w:rPr>
              <w:t>m</w:t>
            </w:r>
            <w:r>
              <w:rPr>
                <w:rFonts w:hint="eastAsia" w:ascii="Times New Roman" w:hAnsi="Times New Roman" w:cs="Times New Roman" w:eastAsiaTheme="minorEastAsia"/>
                <w:strike w:val="0"/>
                <w:dstrike w:val="0"/>
                <w:color w:val="000000" w:themeColor="text1"/>
                <w:kern w:val="0"/>
                <w:vertAlign w:val="superscript"/>
                <w:lang w:eastAsia="zh-CN"/>
              </w:rPr>
              <w:t>3</w:t>
            </w:r>
            <w:r>
              <w:rPr>
                <w:rFonts w:ascii="Times New Roman" w:hAnsi="Times New Roman" w:cs="Times New Roman" w:eastAsiaTheme="minorEastAsia"/>
                <w:color w:val="000000" w:themeColor="text1"/>
                <w:kern w:val="0"/>
              </w:rPr>
              <w:t>。</w:t>
            </w:r>
          </w:p>
        </w:tc>
        <w:tc>
          <w:tcPr>
            <w:tcW w:w="773" w:type="dxa"/>
            <w:tcBorders>
              <w:top w:val="single" w:color="000000" w:sz="4" w:space="0"/>
              <w:left w:val="single" w:color="000000" w:sz="4" w:space="0"/>
              <w:bottom w:val="single" w:color="000000" w:sz="4" w:space="0"/>
              <w:right w:val="single" w:color="000000" w:sz="4" w:space="0"/>
            </w:tcBorders>
            <w:vAlign w:val="center"/>
          </w:tcPr>
          <w:p w14:paraId="3563EBFE">
            <w:pPr>
              <w:widowControl/>
              <w:adjustRightInd w:val="0"/>
              <w:snapToGrid w:val="0"/>
              <w:spacing w:line="240" w:lineRule="auto"/>
              <w:jc w:val="center"/>
              <w:rPr>
                <w:rFonts w:hint="eastAsia" w:ascii="Times New Roman" w:hAnsi="Times New Roman" w:cs="Times New Roman" w:eastAsiaTheme="minorEastAsia"/>
                <w:color w:val="000000" w:themeColor="text1"/>
                <w:kern w:val="0"/>
                <w:lang w:eastAsia="zh-CN"/>
              </w:rPr>
            </w:pPr>
            <w:r>
              <w:rPr>
                <w:rFonts w:hint="eastAsia" w:ascii="Times New Roman" w:hAnsi="Times New Roman" w:cs="Times New Roman" w:eastAsiaTheme="minorEastAsia"/>
                <w:color w:val="000000" w:themeColor="text1"/>
                <w:kern w:val="0"/>
              </w:rPr>
              <w:t>13.0</w:t>
            </w:r>
            <w:r>
              <w:rPr>
                <w:rFonts w:hint="eastAsia" w:ascii="Times New Roman" w:hAnsi="Times New Roman" w:cs="Times New Roman" w:eastAsiaTheme="minorEastAsia"/>
                <w:color w:val="000000" w:themeColor="text1"/>
                <w:kern w:val="0"/>
                <w:lang w:val="en-US" w:eastAsia="zh-CN"/>
              </w:rPr>
              <w:t>5</w:t>
            </w:r>
          </w:p>
        </w:tc>
        <w:tc>
          <w:tcPr>
            <w:tcW w:w="712" w:type="dxa"/>
            <w:tcBorders>
              <w:top w:val="single" w:color="000000" w:sz="4" w:space="0"/>
              <w:left w:val="single" w:color="000000" w:sz="4" w:space="0"/>
              <w:bottom w:val="single" w:color="000000" w:sz="4" w:space="0"/>
              <w:right w:val="single" w:color="000000" w:sz="4" w:space="0"/>
            </w:tcBorders>
            <w:vAlign w:val="center"/>
          </w:tcPr>
          <w:p w14:paraId="4A7A19A6">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2026年1月-2026年12月</w:t>
            </w:r>
          </w:p>
        </w:tc>
        <w:tc>
          <w:tcPr>
            <w:tcW w:w="743" w:type="dxa"/>
            <w:tcBorders>
              <w:top w:val="single" w:color="000000" w:sz="4" w:space="0"/>
              <w:left w:val="single" w:color="000000" w:sz="4" w:space="0"/>
              <w:bottom w:val="single" w:color="000000" w:sz="4" w:space="0"/>
              <w:right w:val="single" w:color="000000" w:sz="4" w:space="0"/>
            </w:tcBorders>
            <w:vAlign w:val="center"/>
          </w:tcPr>
          <w:p w14:paraId="31F00A4C">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地貌重塑、土壤重构、植被重建、景观营建</w:t>
            </w:r>
          </w:p>
        </w:tc>
        <w:tc>
          <w:tcPr>
            <w:tcW w:w="981" w:type="dxa"/>
            <w:tcBorders>
              <w:top w:val="single" w:color="000000" w:sz="4" w:space="0"/>
              <w:left w:val="single" w:color="000000" w:sz="4" w:space="0"/>
              <w:bottom w:val="single" w:color="000000" w:sz="4" w:space="0"/>
              <w:right w:val="single" w:color="000000" w:sz="4" w:space="0"/>
            </w:tcBorders>
            <w:vAlign w:val="center"/>
          </w:tcPr>
          <w:p w14:paraId="715D2697">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露天采场地面清理平整</w:t>
            </w:r>
            <w:r>
              <w:rPr>
                <w:rFonts w:hint="eastAsia" w:ascii="Times New Roman" w:hAnsi="Times New Roman" w:cs="Times New Roman" w:eastAsiaTheme="minorEastAsia"/>
                <w:color w:val="000000" w:themeColor="text1"/>
                <w:kern w:val="0"/>
              </w:rPr>
              <w:t>12540</w:t>
            </w:r>
            <w:r>
              <w:rPr>
                <w:rFonts w:hint="eastAsia" w:ascii="Times New Roman" w:hAnsi="Times New Roman" w:cs="Times New Roman" w:eastAsiaTheme="minorEastAsia"/>
                <w:color w:val="000000" w:themeColor="text1"/>
                <w:kern w:val="0"/>
                <w:lang w:eastAsia="zh-CN"/>
              </w:rPr>
              <w:t>m</w:t>
            </w:r>
            <w:r>
              <w:rPr>
                <w:rFonts w:hint="eastAsia" w:ascii="Times New Roman" w:hAnsi="Times New Roman" w:cs="Times New Roman" w:eastAsiaTheme="minorEastAsia"/>
                <w:strike w:val="0"/>
                <w:dstrike w:val="0"/>
                <w:color w:val="000000" w:themeColor="text1"/>
                <w:kern w:val="0"/>
                <w:vertAlign w:val="superscript"/>
                <w:lang w:eastAsia="zh-CN"/>
              </w:rPr>
              <w:t>3</w:t>
            </w:r>
            <w:r>
              <w:rPr>
                <w:rFonts w:ascii="Times New Roman" w:hAnsi="Times New Roman" w:cs="Times New Roman" w:eastAsiaTheme="minorEastAsia"/>
                <w:color w:val="000000" w:themeColor="text1"/>
                <w:kern w:val="0"/>
              </w:rPr>
              <w:t>、</w:t>
            </w:r>
          </w:p>
          <w:p w14:paraId="78418BEA">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表土</w:t>
            </w:r>
            <w:r>
              <w:rPr>
                <w:rFonts w:hint="eastAsia" w:ascii="Times New Roman" w:hAnsi="Times New Roman" w:cs="Times New Roman" w:eastAsiaTheme="minorEastAsia"/>
                <w:color w:val="000000" w:themeColor="text1"/>
                <w:kern w:val="0"/>
                <w:lang w:val="en-US" w:eastAsia="zh-CN"/>
              </w:rPr>
              <w:t>回覆27</w:t>
            </w:r>
            <w:r>
              <w:rPr>
                <w:rFonts w:hint="eastAsia" w:ascii="Times New Roman" w:hAnsi="Times New Roman" w:cs="Times New Roman" w:eastAsiaTheme="minorEastAsia"/>
                <w:color w:val="000000" w:themeColor="text1"/>
                <w:kern w:val="0"/>
              </w:rPr>
              <w:t>00</w:t>
            </w:r>
            <w:r>
              <w:rPr>
                <w:rFonts w:hint="eastAsia" w:ascii="Times New Roman" w:hAnsi="Times New Roman" w:cs="Times New Roman" w:eastAsiaTheme="minorEastAsia"/>
                <w:color w:val="000000" w:themeColor="text1"/>
                <w:kern w:val="0"/>
                <w:lang w:eastAsia="zh-CN"/>
              </w:rPr>
              <w:t>m</w:t>
            </w:r>
            <w:r>
              <w:rPr>
                <w:rFonts w:hint="eastAsia" w:ascii="Times New Roman" w:hAnsi="Times New Roman" w:cs="Times New Roman" w:eastAsiaTheme="minorEastAsia"/>
                <w:strike w:val="0"/>
                <w:dstrike w:val="0"/>
                <w:color w:val="000000" w:themeColor="text1"/>
                <w:kern w:val="0"/>
                <w:vertAlign w:val="superscript"/>
                <w:lang w:eastAsia="zh-CN"/>
              </w:rPr>
              <w:t>3</w:t>
            </w:r>
            <w:r>
              <w:rPr>
                <w:rFonts w:ascii="Times New Roman" w:hAnsi="Times New Roman" w:cs="Times New Roman" w:eastAsiaTheme="minorEastAsia"/>
                <w:color w:val="000000" w:themeColor="text1"/>
                <w:kern w:val="0"/>
              </w:rPr>
              <w:t>、</w:t>
            </w:r>
          </w:p>
          <w:p w14:paraId="24A753C2">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栽植乔木</w:t>
            </w:r>
            <w:r>
              <w:rPr>
                <w:rFonts w:hint="eastAsia" w:ascii="Times New Roman" w:hAnsi="Times New Roman" w:cs="Times New Roman" w:eastAsiaTheme="minorEastAsia"/>
                <w:color w:val="000000" w:themeColor="text1"/>
                <w:kern w:val="0"/>
                <w:lang w:eastAsia="zh-CN"/>
              </w:rPr>
              <w:t>31350</w:t>
            </w:r>
            <w:r>
              <w:rPr>
                <w:rFonts w:ascii="Times New Roman" w:hAnsi="Times New Roman" w:cs="Times New Roman" w:eastAsiaTheme="minorEastAsia"/>
                <w:color w:val="000000" w:themeColor="text1"/>
                <w:kern w:val="0"/>
              </w:rPr>
              <w:t>株、栽植常春藤</w:t>
            </w:r>
            <w:r>
              <w:rPr>
                <w:rFonts w:hint="eastAsia" w:ascii="Times New Roman" w:hAnsi="Times New Roman" w:cs="Times New Roman" w:eastAsiaTheme="minorEastAsia"/>
                <w:color w:val="000000" w:themeColor="text1"/>
                <w:kern w:val="0"/>
              </w:rPr>
              <w:t>5200</w:t>
            </w:r>
            <w:r>
              <w:rPr>
                <w:rFonts w:ascii="Times New Roman" w:hAnsi="Times New Roman" w:cs="Times New Roman" w:eastAsiaTheme="minorEastAsia"/>
                <w:color w:val="000000" w:themeColor="text1"/>
                <w:kern w:val="0"/>
              </w:rPr>
              <w:t>株；开挖汇水渠</w:t>
            </w:r>
            <w:r>
              <w:rPr>
                <w:rFonts w:hint="eastAsia" w:ascii="Times New Roman" w:hAnsi="Times New Roman" w:cs="Times New Roman" w:eastAsiaTheme="minorEastAsia"/>
                <w:color w:val="000000" w:themeColor="text1"/>
                <w:kern w:val="0"/>
              </w:rPr>
              <w:t>900</w:t>
            </w:r>
            <w:r>
              <w:rPr>
                <w:rFonts w:hint="eastAsia" w:ascii="Times New Roman" w:hAnsi="Times New Roman" w:cs="Times New Roman" w:eastAsiaTheme="minorEastAsia"/>
                <w:color w:val="000000" w:themeColor="text1"/>
                <w:kern w:val="0"/>
                <w:lang w:eastAsia="zh-CN"/>
              </w:rPr>
              <w:t>m</w:t>
            </w:r>
            <w:r>
              <w:rPr>
                <w:rFonts w:hint="eastAsia" w:ascii="Times New Roman" w:hAnsi="Times New Roman" w:cs="Times New Roman" w:eastAsiaTheme="minorEastAsia"/>
                <w:strike w:val="0"/>
                <w:dstrike w:val="0"/>
                <w:color w:val="000000" w:themeColor="text1"/>
                <w:kern w:val="0"/>
                <w:vertAlign w:val="superscript"/>
                <w:lang w:eastAsia="zh-CN"/>
              </w:rPr>
              <w:t>3</w:t>
            </w:r>
            <w:r>
              <w:rPr>
                <w:rFonts w:ascii="Times New Roman" w:hAnsi="Times New Roman" w:cs="Times New Roman" w:eastAsiaTheme="minorEastAsia"/>
                <w:color w:val="000000" w:themeColor="text1"/>
                <w:kern w:val="0"/>
              </w:rPr>
              <w:t>。</w:t>
            </w:r>
          </w:p>
        </w:tc>
        <w:tc>
          <w:tcPr>
            <w:tcW w:w="661" w:type="dxa"/>
            <w:tcBorders>
              <w:top w:val="single" w:color="000000" w:sz="4" w:space="0"/>
              <w:left w:val="single" w:color="000000" w:sz="4" w:space="0"/>
              <w:bottom w:val="single" w:color="000000" w:sz="4" w:space="0"/>
              <w:right w:val="single" w:color="000000" w:sz="4" w:space="0"/>
            </w:tcBorders>
            <w:vAlign w:val="center"/>
          </w:tcPr>
          <w:p w14:paraId="26893306">
            <w:pPr>
              <w:widowControl/>
              <w:adjustRightInd w:val="0"/>
              <w:snapToGrid w:val="0"/>
              <w:spacing w:line="240" w:lineRule="auto"/>
              <w:jc w:val="center"/>
              <w:rPr>
                <w:rFonts w:hint="default" w:ascii="Times New Roman" w:hAnsi="Times New Roman" w:cs="Times New Roman" w:eastAsiaTheme="minorEastAsia"/>
                <w:color w:val="000000" w:themeColor="text1"/>
                <w:kern w:val="0"/>
                <w:lang w:val="en-US" w:eastAsia="zh-CN"/>
              </w:rPr>
            </w:pPr>
            <w:r>
              <w:rPr>
                <w:rFonts w:hint="eastAsia" w:ascii="Times New Roman" w:hAnsi="Times New Roman" w:cs="Times New Roman" w:eastAsiaTheme="minorEastAsia"/>
                <w:color w:val="000000" w:themeColor="text1"/>
                <w:kern w:val="0"/>
                <w:lang w:val="en-US" w:eastAsia="zh-CN"/>
              </w:rPr>
              <w:t>47.05</w:t>
            </w:r>
          </w:p>
        </w:tc>
        <w:tc>
          <w:tcPr>
            <w:tcW w:w="739" w:type="dxa"/>
            <w:tcBorders>
              <w:top w:val="single" w:color="000000" w:sz="4" w:space="0"/>
              <w:left w:val="single" w:color="000000" w:sz="4" w:space="0"/>
              <w:bottom w:val="single" w:color="000000" w:sz="4" w:space="0"/>
              <w:right w:val="single" w:color="000000" w:sz="4" w:space="0"/>
            </w:tcBorders>
            <w:vAlign w:val="center"/>
          </w:tcPr>
          <w:p w14:paraId="31F68688">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20</w:t>
            </w:r>
            <w:r>
              <w:rPr>
                <w:rFonts w:hint="eastAsia" w:ascii="Times New Roman" w:hAnsi="Times New Roman" w:cs="Times New Roman" w:eastAsiaTheme="minorEastAsia"/>
                <w:color w:val="000000" w:themeColor="text1"/>
                <w:kern w:val="0"/>
              </w:rPr>
              <w:t>52</w:t>
            </w:r>
            <w:r>
              <w:rPr>
                <w:rFonts w:ascii="Times New Roman" w:hAnsi="Times New Roman" w:cs="Times New Roman" w:eastAsiaTheme="minorEastAsia"/>
                <w:color w:val="000000" w:themeColor="text1"/>
                <w:kern w:val="0"/>
              </w:rPr>
              <w:t>年1月-20</w:t>
            </w:r>
            <w:r>
              <w:rPr>
                <w:rFonts w:hint="eastAsia" w:ascii="Times New Roman" w:hAnsi="Times New Roman" w:cs="Times New Roman" w:eastAsiaTheme="minorEastAsia"/>
                <w:color w:val="000000" w:themeColor="text1"/>
                <w:kern w:val="0"/>
              </w:rPr>
              <w:t>52</w:t>
            </w:r>
            <w:r>
              <w:rPr>
                <w:rFonts w:ascii="Times New Roman" w:hAnsi="Times New Roman" w:cs="Times New Roman" w:eastAsiaTheme="minorEastAsia"/>
                <w:color w:val="000000" w:themeColor="text1"/>
                <w:kern w:val="0"/>
              </w:rPr>
              <w:t>年12月</w:t>
            </w:r>
          </w:p>
        </w:tc>
        <w:tc>
          <w:tcPr>
            <w:tcW w:w="750" w:type="dxa"/>
            <w:tcBorders>
              <w:top w:val="single" w:color="000000" w:sz="4" w:space="0"/>
              <w:left w:val="single" w:color="000000" w:sz="4" w:space="0"/>
              <w:bottom w:val="single" w:color="000000" w:sz="4" w:space="0"/>
              <w:right w:val="single" w:color="000000" w:sz="4" w:space="0"/>
            </w:tcBorders>
            <w:vAlign w:val="center"/>
          </w:tcPr>
          <w:p w14:paraId="310B66D0">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地质灾害监测、地表水监测、地形地貌景观监测、土壤质量监测、复垦效果监测、管护。</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06242">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地质灾害监测</w:t>
            </w:r>
            <w:r>
              <w:rPr>
                <w:rFonts w:hint="eastAsia" w:ascii="Times New Roman" w:hAnsi="Times New Roman" w:cs="Times New Roman"/>
                <w:color w:val="000000" w:themeColor="text1"/>
                <w:kern w:val="0"/>
              </w:rPr>
              <w:t>1248</w:t>
            </w:r>
            <w:r>
              <w:rPr>
                <w:rFonts w:ascii="Times New Roman" w:hAnsi="Times New Roman" w:cs="Times New Roman"/>
                <w:color w:val="000000" w:themeColor="text1"/>
                <w:kern w:val="0"/>
              </w:rPr>
              <w:t>次</w:t>
            </w:r>
            <w:r>
              <w:rPr>
                <w:rFonts w:ascii="Times New Roman" w:hAnsi="Times New Roman" w:cs="Times New Roman" w:eastAsiaTheme="minorEastAsia"/>
                <w:color w:val="000000" w:themeColor="text1"/>
                <w:kern w:val="0"/>
              </w:rPr>
              <w:t>、</w:t>
            </w:r>
          </w:p>
          <w:p w14:paraId="03816FDD">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地表水监测</w:t>
            </w:r>
            <w:r>
              <w:rPr>
                <w:rFonts w:hint="eastAsia" w:ascii="Times New Roman" w:hAnsi="Times New Roman" w:cs="Times New Roman"/>
                <w:color w:val="000000" w:themeColor="text1"/>
                <w:kern w:val="0"/>
              </w:rPr>
              <w:t>416</w:t>
            </w:r>
            <w:r>
              <w:rPr>
                <w:rFonts w:ascii="Times New Roman" w:hAnsi="Times New Roman" w:cs="Times New Roman"/>
                <w:color w:val="000000" w:themeColor="text1"/>
                <w:kern w:val="0"/>
              </w:rPr>
              <w:t>次</w:t>
            </w:r>
            <w:r>
              <w:rPr>
                <w:rFonts w:ascii="Times New Roman" w:hAnsi="Times New Roman" w:cs="Times New Roman" w:eastAsiaTheme="minorEastAsia"/>
                <w:color w:val="000000" w:themeColor="text1"/>
                <w:kern w:val="0"/>
              </w:rPr>
              <w:t>、</w:t>
            </w:r>
          </w:p>
          <w:p w14:paraId="060B1F76">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地形地貌景观监测</w:t>
            </w:r>
            <w:r>
              <w:rPr>
                <w:rFonts w:hint="eastAsia" w:ascii="Times New Roman" w:hAnsi="Times New Roman" w:cs="Times New Roman"/>
                <w:color w:val="000000" w:themeColor="text1"/>
                <w:kern w:val="0"/>
              </w:rPr>
              <w:t>104</w:t>
            </w:r>
            <w:r>
              <w:rPr>
                <w:rFonts w:ascii="Times New Roman" w:hAnsi="Times New Roman" w:cs="Times New Roman"/>
                <w:color w:val="000000" w:themeColor="text1"/>
                <w:kern w:val="0"/>
              </w:rPr>
              <w:t>次</w:t>
            </w:r>
            <w:r>
              <w:rPr>
                <w:rFonts w:ascii="Times New Roman" w:hAnsi="Times New Roman" w:cs="Times New Roman" w:eastAsiaTheme="minorEastAsia"/>
                <w:color w:val="000000" w:themeColor="text1"/>
                <w:kern w:val="0"/>
              </w:rPr>
              <w:t>、土壤质量监测</w:t>
            </w:r>
            <w:r>
              <w:rPr>
                <w:rFonts w:hint="eastAsia" w:ascii="Times New Roman" w:hAnsi="Times New Roman" w:cs="Times New Roman" w:eastAsiaTheme="minorEastAsia"/>
                <w:color w:val="000000" w:themeColor="text1"/>
                <w:kern w:val="0"/>
              </w:rPr>
              <w:t>12</w:t>
            </w:r>
            <w:r>
              <w:rPr>
                <w:rFonts w:ascii="Times New Roman" w:hAnsi="Times New Roman" w:cs="Times New Roman" w:eastAsiaTheme="minorEastAsia"/>
                <w:color w:val="000000" w:themeColor="text1"/>
                <w:kern w:val="0"/>
              </w:rPr>
              <w:t>次、复垦效果监测</w:t>
            </w:r>
            <w:r>
              <w:rPr>
                <w:rFonts w:hint="eastAsia" w:ascii="Times New Roman" w:hAnsi="Times New Roman" w:cs="Times New Roman" w:eastAsiaTheme="minorEastAsia"/>
                <w:color w:val="000000" w:themeColor="text1"/>
                <w:kern w:val="0"/>
              </w:rPr>
              <w:t>12</w:t>
            </w:r>
            <w:r>
              <w:rPr>
                <w:rFonts w:ascii="Times New Roman" w:hAnsi="Times New Roman" w:cs="Times New Roman" w:eastAsiaTheme="minorEastAsia"/>
                <w:color w:val="000000" w:themeColor="text1"/>
                <w:kern w:val="0"/>
              </w:rPr>
              <w:t>次、管护</w:t>
            </w:r>
            <w:r>
              <w:rPr>
                <w:rFonts w:hint="eastAsia" w:ascii="Times New Roman" w:hAnsi="Times New Roman" w:cs="Times New Roman" w:eastAsiaTheme="minorEastAsia"/>
                <w:color w:val="000000" w:themeColor="text1"/>
                <w:kern w:val="0"/>
              </w:rPr>
              <w:t>12.54</w:t>
            </w:r>
            <w:r>
              <w:rPr>
                <w:rFonts w:ascii="Times New Roman" w:hAnsi="Times New Roman" w:cs="Times New Roman" w:eastAsiaTheme="minorEastAsia"/>
                <w:color w:val="000000" w:themeColor="text1"/>
                <w:kern w:val="0"/>
              </w:rPr>
              <w:t>h</w:t>
            </w:r>
            <w:r>
              <w:rPr>
                <w:rFonts w:hint="eastAsia" w:ascii="Times New Roman" w:hAnsi="Times New Roman" w:cs="Times New Roman" w:eastAsiaTheme="minorEastAsia"/>
                <w:color w:val="000000" w:themeColor="text1"/>
                <w:kern w:val="0"/>
                <w:lang w:eastAsia="zh-CN"/>
              </w:rPr>
              <w:t>m</w:t>
            </w:r>
            <w:r>
              <w:rPr>
                <w:rFonts w:hint="eastAsia" w:ascii="Times New Roman" w:hAnsi="Times New Roman" w:cs="Times New Roman" w:eastAsiaTheme="minorEastAsia"/>
                <w:strike w:val="0"/>
                <w:dstrike w:val="0"/>
                <w:color w:val="000000" w:themeColor="text1"/>
                <w:kern w:val="0"/>
                <w:vertAlign w:val="superscript"/>
                <w:lang w:eastAsia="zh-CN"/>
              </w:rPr>
              <w:t>2</w:t>
            </w:r>
            <w:r>
              <w:rPr>
                <w:rFonts w:ascii="Times New Roman" w:hAnsi="Times New Roman" w:cs="Times New Roman" w:eastAsiaTheme="minorEastAsia"/>
                <w:color w:val="000000" w:themeColor="text1"/>
                <w:kern w:val="0"/>
              </w:rPr>
              <w:t>。</w:t>
            </w:r>
          </w:p>
        </w:tc>
        <w:tc>
          <w:tcPr>
            <w:tcW w:w="654" w:type="dxa"/>
            <w:tcBorders>
              <w:top w:val="single" w:color="000000" w:sz="4" w:space="0"/>
              <w:left w:val="single" w:color="000000" w:sz="4" w:space="0"/>
              <w:bottom w:val="single" w:color="000000" w:sz="4" w:space="0"/>
              <w:right w:val="single" w:color="000000" w:sz="4" w:space="0"/>
            </w:tcBorders>
            <w:vAlign w:val="center"/>
          </w:tcPr>
          <w:p w14:paraId="011CBC53">
            <w:pPr>
              <w:widowControl/>
              <w:adjustRightInd w:val="0"/>
              <w:snapToGrid w:val="0"/>
              <w:spacing w:line="240" w:lineRule="auto"/>
              <w:jc w:val="center"/>
              <w:rPr>
                <w:rFonts w:hint="default" w:ascii="Times New Roman" w:hAnsi="Times New Roman" w:cs="Times New Roman" w:eastAsiaTheme="minorEastAsia"/>
                <w:color w:val="000000" w:themeColor="text1"/>
                <w:kern w:val="0"/>
                <w:lang w:val="en-US" w:eastAsia="zh-CN"/>
              </w:rPr>
            </w:pPr>
            <w:r>
              <w:rPr>
                <w:rFonts w:hint="eastAsia" w:ascii="Times New Roman" w:hAnsi="Times New Roman" w:cs="Times New Roman" w:eastAsiaTheme="minorEastAsia"/>
                <w:color w:val="000000" w:themeColor="text1"/>
                <w:kern w:val="0"/>
                <w:lang w:val="en-US" w:eastAsia="zh-CN"/>
              </w:rPr>
              <w:t>27.00</w:t>
            </w:r>
          </w:p>
        </w:tc>
        <w:tc>
          <w:tcPr>
            <w:tcW w:w="676" w:type="dxa"/>
            <w:tcBorders>
              <w:top w:val="single" w:color="000000" w:sz="4" w:space="0"/>
              <w:left w:val="single" w:color="000000" w:sz="4" w:space="0"/>
              <w:bottom w:val="single" w:color="000000" w:sz="4" w:space="0"/>
              <w:right w:val="single" w:color="000000" w:sz="12" w:space="0"/>
            </w:tcBorders>
            <w:vAlign w:val="center"/>
          </w:tcPr>
          <w:p w14:paraId="3EEA55BC">
            <w:pPr>
              <w:widowControl/>
              <w:adjustRightInd w:val="0"/>
              <w:snapToGrid w:val="0"/>
              <w:spacing w:line="240" w:lineRule="auto"/>
              <w:jc w:val="center"/>
              <w:rPr>
                <w:rFonts w:ascii="Times New Roman" w:hAnsi="Times New Roman" w:cs="Times New Roman" w:eastAsiaTheme="minorEastAsia"/>
                <w:color w:val="000000" w:themeColor="text1"/>
                <w:kern w:val="0"/>
              </w:rPr>
            </w:pPr>
            <w:r>
              <w:rPr>
                <w:rFonts w:ascii="Times New Roman" w:hAnsi="Times New Roman" w:cs="Times New Roman" w:eastAsiaTheme="minorEastAsia"/>
                <w:color w:val="000000" w:themeColor="text1"/>
                <w:kern w:val="0"/>
              </w:rPr>
              <w:t>2026年1月-20</w:t>
            </w:r>
            <w:r>
              <w:rPr>
                <w:rFonts w:hint="eastAsia" w:ascii="Times New Roman" w:hAnsi="Times New Roman" w:cs="Times New Roman" w:eastAsiaTheme="minorEastAsia"/>
                <w:color w:val="000000" w:themeColor="text1"/>
                <w:kern w:val="0"/>
              </w:rPr>
              <w:t>55</w:t>
            </w:r>
            <w:r>
              <w:rPr>
                <w:rFonts w:ascii="Times New Roman" w:hAnsi="Times New Roman" w:cs="Times New Roman" w:eastAsiaTheme="minorEastAsia"/>
                <w:color w:val="000000" w:themeColor="text1"/>
                <w:kern w:val="0"/>
              </w:rPr>
              <w:t>年12月</w:t>
            </w:r>
          </w:p>
        </w:tc>
      </w:tr>
    </w:tbl>
    <w:p w14:paraId="0CFD39DB">
      <w:pPr>
        <w:tabs>
          <w:tab w:val="left" w:pos="3403"/>
        </w:tabs>
        <w:spacing w:before="28"/>
        <w:ind w:left="2" w:right="44"/>
        <w:jc w:val="center"/>
        <w:rPr>
          <w:rFonts w:ascii="Times New Roman" w:hAnsi="Times New Roman" w:cs="Times New Roman"/>
          <w:b/>
          <w:color w:val="000000" w:themeColor="text1"/>
          <w:sz w:val="24"/>
          <w:szCs w:val="24"/>
        </w:rPr>
        <w:sectPr>
          <w:pgSz w:w="16838" w:h="11906" w:orient="landscape"/>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p>
    <w:p w14:paraId="10E94B11">
      <w:pPr>
        <w:pStyle w:val="159"/>
        <w:topLinePunct/>
        <w:rPr>
          <w:rFonts w:ascii="Times New Roman" w:hAnsi="Times New Roman" w:cs="Times New Roman"/>
          <w:color w:val="000000" w:themeColor="text1"/>
        </w:rPr>
      </w:pPr>
      <w:bookmarkStart w:id="41" w:name="_Toc12058"/>
      <w:r>
        <w:rPr>
          <w:rFonts w:ascii="Times New Roman" w:hAnsi="Times New Roman" w:cs="Times New Roman"/>
          <w:color w:val="000000" w:themeColor="text1"/>
        </w:rPr>
        <w:t>第七章 保障措施与公众参与</w:t>
      </w:r>
      <w:bookmarkEnd w:id="41"/>
    </w:p>
    <w:p w14:paraId="06218C2F">
      <w:pPr>
        <w:pStyle w:val="174"/>
        <w:topLinePunct/>
        <w:rPr>
          <w:rFonts w:ascii="Times New Roman" w:hAnsi="Times New Roman" w:cs="Times New Roman"/>
          <w:color w:val="000000" w:themeColor="text1"/>
          <w:sz w:val="28"/>
          <w:szCs w:val="28"/>
        </w:rPr>
      </w:pPr>
      <w:bookmarkStart w:id="42" w:name="_Toc3132"/>
      <w:r>
        <w:rPr>
          <w:rFonts w:ascii="Times New Roman" w:hAnsi="Times New Roman" w:cs="Times New Roman"/>
          <w:color w:val="000000" w:themeColor="text1"/>
          <w:sz w:val="28"/>
          <w:szCs w:val="28"/>
        </w:rPr>
        <w:t>一、保障措施</w:t>
      </w:r>
      <w:bookmarkEnd w:id="42"/>
    </w:p>
    <w:p w14:paraId="3DC57DC7">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（一）组织保障</w:t>
      </w:r>
    </w:p>
    <w:p w14:paraId="733CE850">
      <w:pPr>
        <w:pStyle w:val="178"/>
        <w:topLinePunct/>
        <w:rPr>
          <w:rFonts w:ascii="Times New Roman" w:hAnsi="Times New Roman" w:cs="Times New Roman"/>
          <w:color w:val="000000" w:themeColor="text1"/>
        </w:rPr>
      </w:pPr>
      <w:r>
        <w:rPr>
          <w:rFonts w:ascii="Times New Roman" w:hAnsi="Times New Roman" w:cs="Times New Roman"/>
          <w:color w:val="000000" w:themeColor="text1"/>
        </w:rPr>
        <w:t xml:space="preserve"> 按照“谁开发，谁保护、谁破坏，谁治理”和“谁损毁，谁复垦”原则，明确方案实施的组织机构及其职责：矿区生态修复方案报请自然资源行政主管部门批准后，由矿山负责组织实施。为保证方案的顺利实施，负责方案的委托、报批和实施工作，应建立一个由</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法人任组长的矿区生态修复工作领导小组，下设立各专门机构，选调责任心强，政策水平较高，懂专业的得力人员，具体负责矿区生态修复的各项工作。确保矿区生态修复工程的实施，以达到矿区生态修复的最终效果。</w:t>
      </w:r>
    </w:p>
    <w:p w14:paraId="6E8CC92C">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（二）技术保障</w:t>
      </w:r>
    </w:p>
    <w:p w14:paraId="14AB32DA">
      <w:pPr>
        <w:pStyle w:val="178"/>
        <w:topLinePunct/>
        <w:rPr>
          <w:rFonts w:ascii="Times New Roman" w:hAnsi="Times New Roman" w:cs="Times New Roman"/>
          <w:color w:val="000000" w:themeColor="text1"/>
        </w:rPr>
      </w:pPr>
      <w:r>
        <w:rPr>
          <w:rFonts w:ascii="Times New Roman" w:hAnsi="Times New Roman" w:cs="Times New Roman"/>
          <w:color w:val="000000" w:themeColor="text1"/>
        </w:rPr>
        <w:t>根据矿区生态修复各项工程的技术要求，具体可以采以下技术保障措施：</w:t>
      </w:r>
    </w:p>
    <w:p w14:paraId="16F9D180">
      <w:pPr>
        <w:pStyle w:val="178"/>
        <w:topLinePunct/>
        <w:rPr>
          <w:rFonts w:ascii="Times New Roman" w:hAnsi="Times New Roman" w:cs="Times New Roman"/>
          <w:color w:val="000000" w:themeColor="text1"/>
        </w:rPr>
      </w:pPr>
      <w:r>
        <w:rPr>
          <w:rFonts w:ascii="Times New Roman" w:hAnsi="Times New Roman" w:cs="Times New Roman"/>
          <w:color w:val="000000" w:themeColor="text1"/>
        </w:rPr>
        <w:t>1、为加强技术指导和咨询服务工作，矿山应成立专业技术人员组成的技术小组，对本矿区生态修复进行专门研究、咨询。根据各项工程的技术要求，技术指导小组对项目进行全面的指导，并且提供技术支持，以保证项目的顺利实施。</w:t>
      </w:r>
    </w:p>
    <w:p w14:paraId="19F4DD05">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矿区生态修复实施中，根据矿区生态修复方案内容，可与相关实力雄厚的技术单位合作，编制阶段矿区生态修复实施计划和年度矿区生态修复实施计划，分阶段进行矿区生态修复。并及时总结阶段性矿区生态修复实施经验，并修订矿区生态修复方案。</w:t>
      </w:r>
    </w:p>
    <w:p w14:paraId="7026349A">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3、加强与相关技术单位的合作，加强对省内外具有先进矿区生态修复技术单位的学习研究，及时吸取教训，完善矿区生态修复措施。</w:t>
      </w:r>
    </w:p>
    <w:p w14:paraId="2DA35B35">
      <w:pPr>
        <w:pStyle w:val="178"/>
        <w:topLinePunct/>
        <w:rPr>
          <w:rFonts w:ascii="Times New Roman" w:hAnsi="Times New Roman" w:cs="Times New Roman"/>
          <w:color w:val="000000" w:themeColor="text1"/>
        </w:rPr>
      </w:pPr>
      <w:r>
        <w:rPr>
          <w:rFonts w:ascii="Times New Roman" w:hAnsi="Times New Roman" w:cs="Times New Roman"/>
          <w:color w:val="000000" w:themeColor="text1"/>
        </w:rPr>
        <w:t>4、根据实际生产情况结合矿山地质环境变化和土地损毁情况，进一步完善矿区生态修复方案，扩展矿区生态修复方案编制的深度、广度和适宜度，让方案更贴合矿山实际情况，更利于实施工作。</w:t>
      </w:r>
    </w:p>
    <w:p w14:paraId="3548A12F">
      <w:pPr>
        <w:pStyle w:val="178"/>
        <w:topLinePunct/>
        <w:rPr>
          <w:rFonts w:ascii="Times New Roman" w:hAnsi="Times New Roman" w:cs="Times New Roman"/>
          <w:color w:val="000000" w:themeColor="text1"/>
        </w:rPr>
      </w:pPr>
      <w:r>
        <w:rPr>
          <w:rFonts w:ascii="Times New Roman" w:hAnsi="Times New Roman" w:cs="Times New Roman"/>
          <w:color w:val="000000" w:themeColor="text1"/>
        </w:rPr>
        <w:t>5、严格按照建设工程招投标制度选择和确定施工队伍，要求施工队伍具有等级资质和技术实力。</w:t>
      </w:r>
    </w:p>
    <w:p w14:paraId="7E9303BD">
      <w:pPr>
        <w:pStyle w:val="178"/>
        <w:topLinePunct/>
        <w:rPr>
          <w:rFonts w:ascii="Times New Roman" w:hAnsi="Times New Roman" w:cs="Times New Roman"/>
          <w:color w:val="000000" w:themeColor="text1"/>
        </w:rPr>
      </w:pPr>
      <w:r>
        <w:rPr>
          <w:rFonts w:ascii="Times New Roman" w:hAnsi="Times New Roman" w:cs="Times New Roman"/>
          <w:color w:val="000000" w:themeColor="text1"/>
        </w:rPr>
        <w:t>6、定期培训技术人员，咨询相关专家，并对矿山地质环境和土地损毁情况进行动态观测和评价。</w:t>
      </w:r>
    </w:p>
    <w:p w14:paraId="1C723078">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（三）资金保障</w:t>
      </w:r>
    </w:p>
    <w:p w14:paraId="096EBE37">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矿山年产矿石</w:t>
      </w:r>
      <w:r>
        <w:rPr>
          <w:rFonts w:hint="eastAsia" w:ascii="Times New Roman" w:hAnsi="Times New Roman" w:cs="Times New Roman"/>
          <w:color w:val="000000" w:themeColor="text1"/>
        </w:rPr>
        <w:t>7.00万</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/年，销售价格30元/</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，销售收入</w:t>
      </w:r>
      <w:r>
        <w:rPr>
          <w:rFonts w:hint="eastAsia" w:ascii="Times New Roman" w:hAnsi="Times New Roman" w:cs="Times New Roman"/>
          <w:color w:val="000000" w:themeColor="text1"/>
        </w:rPr>
        <w:t>210</w:t>
      </w:r>
      <w:r>
        <w:rPr>
          <w:rFonts w:ascii="Times New Roman" w:hAnsi="Times New Roman" w:cs="Times New Roman"/>
          <w:color w:val="000000" w:themeColor="text1"/>
        </w:rPr>
        <w:t>万元/年。项目资金是生态修复工作取得成功的重要保证，</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为保证方案顺利及时实施，将采取以下资金保障措施。</w:t>
      </w:r>
    </w:p>
    <w:p w14:paraId="648CC8A5">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1、资金来源</w:t>
      </w:r>
    </w:p>
    <w:p w14:paraId="6EEDF548">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将实施矿区生态修复的资金来源为列入矿山生产建设成本并足额预算，确保项目资金专款专用。</w:t>
      </w:r>
    </w:p>
    <w:p w14:paraId="6052BDA3">
      <w:pPr>
        <w:pStyle w:val="178"/>
        <w:topLinePunct/>
        <w:rPr>
          <w:rFonts w:ascii="Times New Roman" w:hAnsi="Times New Roman" w:cs="Times New Roman"/>
          <w:color w:val="000000" w:themeColor="text1"/>
        </w:rPr>
      </w:pPr>
      <w:r>
        <w:rPr>
          <w:rFonts w:ascii="Times New Roman" w:hAnsi="Times New Roman" w:cs="Times New Roman"/>
          <w:color w:val="000000" w:themeColor="text1"/>
        </w:rPr>
        <w:t>2、资金预存方式</w:t>
      </w:r>
    </w:p>
    <w:p w14:paraId="37DD283A">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本项目生态修复</w:t>
      </w:r>
      <w:r>
        <w:rPr>
          <w:rFonts w:ascii="Times New Roman" w:hAnsi="Times New Roman" w:cs="Times New Roman"/>
          <w:color w:val="000000" w:themeColor="text1"/>
          <w:spacing w:val="2"/>
        </w:rPr>
        <w:t>总投资</w:t>
      </w:r>
      <w:r>
        <w:rPr>
          <w:rFonts w:hint="eastAsia" w:ascii="Times New Roman" w:hAnsi="Times New Roman" w:cs="Times New Roman"/>
          <w:color w:val="000000" w:themeColor="text1"/>
          <w:spacing w:val="2"/>
          <w:lang w:val="en-US" w:eastAsia="zh-CN"/>
        </w:rPr>
        <w:t>103.79</w:t>
      </w:r>
      <w:r>
        <w:rPr>
          <w:rFonts w:ascii="Times New Roman" w:hAnsi="Times New Roman" w:cs="Times New Roman"/>
          <w:color w:val="000000" w:themeColor="text1"/>
          <w:spacing w:val="2"/>
        </w:rPr>
        <w:t>万元</w:t>
      </w:r>
      <w:r>
        <w:rPr>
          <w:rFonts w:hint="eastAsia" w:ascii="Times New Roman" w:hAnsi="Times New Roman" w:cs="Times New Roman"/>
          <w:color w:val="000000" w:themeColor="text1"/>
          <w:spacing w:val="2"/>
          <w:lang w:eastAsia="zh-CN"/>
        </w:rPr>
        <w:t>，</w:t>
      </w:r>
      <w:r>
        <w:rPr>
          <w:rFonts w:hint="eastAsia" w:ascii="Times New Roman" w:hAnsi="Times New Roman" w:cs="Times New Roman"/>
          <w:color w:val="000000" w:themeColor="text1"/>
          <w:spacing w:val="2"/>
          <w:lang w:val="en-US" w:eastAsia="zh-CN"/>
        </w:rPr>
        <w:t>该矿2016年至今已缴纳土地复垦48.22</w:t>
      </w:r>
      <w:r>
        <w:rPr>
          <w:rFonts w:ascii="Times New Roman" w:hAnsi="Times New Roman" w:cs="Times New Roman"/>
          <w:color w:val="000000" w:themeColor="text1"/>
          <w:spacing w:val="2"/>
        </w:rPr>
        <w:t>万</w:t>
      </w:r>
      <w:r>
        <w:rPr>
          <w:rFonts w:hint="eastAsia" w:ascii="Times New Roman" w:hAnsi="Times New Roman" w:cs="Times New Roman"/>
          <w:color w:val="000000" w:themeColor="text1"/>
          <w:spacing w:val="2"/>
          <w:lang w:val="en-US" w:eastAsia="zh-CN"/>
        </w:rPr>
        <w:t>元、矿山恢复治理金5.00</w:t>
      </w:r>
      <w:r>
        <w:rPr>
          <w:rFonts w:ascii="Times New Roman" w:hAnsi="Times New Roman" w:cs="Times New Roman"/>
          <w:color w:val="000000" w:themeColor="text1"/>
          <w:spacing w:val="2"/>
        </w:rPr>
        <w:t>万</w:t>
      </w:r>
      <w:r>
        <w:rPr>
          <w:rFonts w:hint="eastAsia" w:ascii="Times New Roman" w:hAnsi="Times New Roman" w:cs="Times New Roman"/>
          <w:color w:val="000000" w:themeColor="text1"/>
          <w:spacing w:val="2"/>
          <w:lang w:val="en-US" w:eastAsia="zh-CN"/>
        </w:rPr>
        <w:t>元，本次还需缴纳生态修复费用50.57</w:t>
      </w:r>
      <w:r>
        <w:rPr>
          <w:rFonts w:ascii="Times New Roman" w:hAnsi="Times New Roman" w:cs="Times New Roman"/>
          <w:color w:val="000000" w:themeColor="text1"/>
          <w:spacing w:val="2"/>
        </w:rPr>
        <w:t>万</w:t>
      </w:r>
      <w:r>
        <w:rPr>
          <w:rFonts w:hint="eastAsia" w:ascii="Times New Roman" w:hAnsi="Times New Roman" w:cs="Times New Roman"/>
          <w:color w:val="000000" w:themeColor="text1"/>
          <w:spacing w:val="2"/>
          <w:lang w:val="en-US" w:eastAsia="zh-CN"/>
        </w:rPr>
        <w:t>元</w:t>
      </w:r>
      <w:r>
        <w:rPr>
          <w:rFonts w:ascii="Times New Roman" w:hAnsi="Times New Roman" w:cs="Times New Roman"/>
          <w:color w:val="000000" w:themeColor="text1"/>
        </w:rPr>
        <w:t>。根据《土地复垦条例实施办法》，生产建设周期在三年以下的项目，应当一次性全额预存土地复垦费用。生产建设周期在三年以上的项目，可以分期预存土地复垦费用，矿山每年11月末前需将下一年度经费预存到矿山地质环境恢复治理基金专户，但第一次预存的数额不得少于土地复垦费用总金额的百分之二十。余额按照土地复垦方案确定的土地复垦费用预存计划预存，在生产建设活动结束前一年预存完毕。</w:t>
      </w:r>
    </w:p>
    <w:p w14:paraId="7611E414">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3、各年度资金安排</w:t>
      </w:r>
    </w:p>
    <w:p w14:paraId="5EE00C32">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本方案按照动态资金预存，全部纳入企业生产成本，在本方案服务年限内，为保证矿山生态修复顺利实施，2026年首次预存金额为</w:t>
      </w:r>
      <w:r>
        <w:rPr>
          <w:rFonts w:hint="eastAsia" w:ascii="Times New Roman" w:hAnsi="Times New Roman" w:cs="Times New Roman"/>
          <w:color w:val="000000" w:themeColor="text1"/>
          <w:lang w:val="en-US" w:eastAsia="zh-CN"/>
        </w:rPr>
        <w:t>10.25</w:t>
      </w:r>
      <w:r>
        <w:rPr>
          <w:rFonts w:ascii="Times New Roman" w:hAnsi="Times New Roman" w:cs="Times New Roman"/>
          <w:color w:val="000000" w:themeColor="text1"/>
        </w:rPr>
        <w:t>万元，剩余各年平均分配预存，在生产建设活动结束前至少一年预存完毕。在本方案服务年限内各年预存金额如下表所示。</w:t>
      </w:r>
    </w:p>
    <w:p w14:paraId="52AEFDF7">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表7-1 </w:t>
      </w:r>
      <w:r>
        <w:rPr>
          <w:rFonts w:hint="eastAsia" w:ascii="Times New Roman" w:hAnsi="Times New Roman" w:cs="Times New Roman"/>
          <w:b/>
          <w:color w:val="000000" w:themeColor="text1"/>
          <w:sz w:val="24"/>
          <w:szCs w:val="24"/>
        </w:rPr>
        <w:t>鸡东县永平采石场</w:t>
      </w:r>
      <w:r>
        <w:rPr>
          <w:rFonts w:ascii="Times New Roman" w:hAnsi="Times New Roman" w:cs="Times New Roman"/>
          <w:b/>
          <w:color w:val="000000" w:themeColor="text1"/>
          <w:sz w:val="24"/>
          <w:szCs w:val="24"/>
        </w:rPr>
        <w:t>矿山生态修复费用预存计划表</w:t>
      </w:r>
    </w:p>
    <w:tbl>
      <w:tblPr>
        <w:tblStyle w:val="42"/>
        <w:tblW w:w="500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2347"/>
        <w:gridCol w:w="3626"/>
        <w:gridCol w:w="3142"/>
      </w:tblGrid>
      <w:tr w14:paraId="4441B4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0" w:hRule="atLeast"/>
          <w:tblHeader/>
          <w:jc w:val="center"/>
        </w:trPr>
        <w:tc>
          <w:tcPr>
            <w:tcW w:w="2345" w:type="dxa"/>
            <w:vAlign w:val="center"/>
          </w:tcPr>
          <w:p w14:paraId="39DFDCC6">
            <w:pPr>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年份</w:t>
            </w:r>
          </w:p>
        </w:tc>
        <w:tc>
          <w:tcPr>
            <w:tcW w:w="3623" w:type="dxa"/>
            <w:vAlign w:val="center"/>
          </w:tcPr>
          <w:p w14:paraId="70C1BF9C">
            <w:pPr>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年度预测费用（万元）</w:t>
            </w:r>
          </w:p>
        </w:tc>
        <w:tc>
          <w:tcPr>
            <w:tcW w:w="3139" w:type="dxa"/>
            <w:vAlign w:val="center"/>
          </w:tcPr>
          <w:p w14:paraId="3333C94D">
            <w:pPr>
              <w:topLinePunct/>
              <w:snapToGrid w:val="0"/>
              <w:spacing w:line="240" w:lineRule="auto"/>
              <w:jc w:val="center"/>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占总费用比（%）</w:t>
            </w:r>
          </w:p>
        </w:tc>
      </w:tr>
      <w:tr w14:paraId="0DC631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7A4CA014">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2026</w:t>
            </w:r>
          </w:p>
        </w:tc>
        <w:tc>
          <w:tcPr>
            <w:tcW w:w="3623" w:type="dxa"/>
            <w:vAlign w:val="center"/>
          </w:tcPr>
          <w:p w14:paraId="59CC96E0">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10.25</w:t>
            </w:r>
          </w:p>
        </w:tc>
        <w:tc>
          <w:tcPr>
            <w:tcW w:w="3139" w:type="dxa"/>
            <w:vAlign w:val="center"/>
          </w:tcPr>
          <w:p w14:paraId="6B1BFC0E">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20.27 </w:t>
            </w:r>
          </w:p>
        </w:tc>
      </w:tr>
      <w:tr w14:paraId="72077C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1BF3EB5A">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2027</w:t>
            </w:r>
          </w:p>
        </w:tc>
        <w:tc>
          <w:tcPr>
            <w:tcW w:w="3623" w:type="dxa"/>
            <w:vAlign w:val="center"/>
          </w:tcPr>
          <w:p w14:paraId="15CB2B66">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59F6D828">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182C55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31C5E286">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2028</w:t>
            </w:r>
          </w:p>
        </w:tc>
        <w:tc>
          <w:tcPr>
            <w:tcW w:w="3623" w:type="dxa"/>
            <w:vAlign w:val="center"/>
          </w:tcPr>
          <w:p w14:paraId="2D4F31FE">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7792B873">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0B23A4C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641ADDA6">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2029</w:t>
            </w:r>
          </w:p>
        </w:tc>
        <w:tc>
          <w:tcPr>
            <w:tcW w:w="3623" w:type="dxa"/>
            <w:vAlign w:val="center"/>
          </w:tcPr>
          <w:p w14:paraId="42774717">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42C491B5">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70D2EB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2A1FBA8C">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2030</w:t>
            </w:r>
          </w:p>
        </w:tc>
        <w:tc>
          <w:tcPr>
            <w:tcW w:w="3623" w:type="dxa"/>
            <w:vAlign w:val="center"/>
          </w:tcPr>
          <w:p w14:paraId="37892E07">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32891EFA">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255896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43129DBB">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2031</w:t>
            </w:r>
          </w:p>
        </w:tc>
        <w:tc>
          <w:tcPr>
            <w:tcW w:w="3623" w:type="dxa"/>
            <w:vAlign w:val="center"/>
          </w:tcPr>
          <w:p w14:paraId="6900DCC5">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3A982CE4">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7D7068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7AA5FDD8">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2032</w:t>
            </w:r>
          </w:p>
        </w:tc>
        <w:tc>
          <w:tcPr>
            <w:tcW w:w="3623" w:type="dxa"/>
            <w:vAlign w:val="center"/>
          </w:tcPr>
          <w:p w14:paraId="66981912">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608DDDBF">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72A413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0195BE70">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2033</w:t>
            </w:r>
          </w:p>
        </w:tc>
        <w:tc>
          <w:tcPr>
            <w:tcW w:w="3623" w:type="dxa"/>
            <w:vAlign w:val="center"/>
          </w:tcPr>
          <w:p w14:paraId="0E04D9E2">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334A0423">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1B8BBF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5FC5BBB3">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2034</w:t>
            </w:r>
          </w:p>
        </w:tc>
        <w:tc>
          <w:tcPr>
            <w:tcW w:w="3623" w:type="dxa"/>
            <w:vAlign w:val="center"/>
          </w:tcPr>
          <w:p w14:paraId="4B00645D">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058D51EA">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6B0611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6253580A">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2035</w:t>
            </w:r>
          </w:p>
        </w:tc>
        <w:tc>
          <w:tcPr>
            <w:tcW w:w="3623" w:type="dxa"/>
            <w:vAlign w:val="center"/>
          </w:tcPr>
          <w:p w14:paraId="773935B1">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533BB354">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7A6331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56AFF347">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2036</w:t>
            </w:r>
          </w:p>
        </w:tc>
        <w:tc>
          <w:tcPr>
            <w:tcW w:w="3623" w:type="dxa"/>
            <w:vAlign w:val="center"/>
          </w:tcPr>
          <w:p w14:paraId="0B8A9013">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262EECAE">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0C9A7A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4DFCC6A4">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2037</w:t>
            </w:r>
          </w:p>
        </w:tc>
        <w:tc>
          <w:tcPr>
            <w:tcW w:w="3623" w:type="dxa"/>
            <w:vAlign w:val="center"/>
          </w:tcPr>
          <w:p w14:paraId="321E0C74">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0D458BE0">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77F7D5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625E95A3">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2038</w:t>
            </w:r>
          </w:p>
        </w:tc>
        <w:tc>
          <w:tcPr>
            <w:tcW w:w="3623" w:type="dxa"/>
            <w:vAlign w:val="center"/>
          </w:tcPr>
          <w:p w14:paraId="19074F6D">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0E8AEF9E">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7E53CB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5C2C5B3E">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2039</w:t>
            </w:r>
          </w:p>
        </w:tc>
        <w:tc>
          <w:tcPr>
            <w:tcW w:w="3623" w:type="dxa"/>
            <w:vAlign w:val="center"/>
          </w:tcPr>
          <w:p w14:paraId="29D9D1C3">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5333AE06">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3EE1A3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3FD22752">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2040</w:t>
            </w:r>
          </w:p>
        </w:tc>
        <w:tc>
          <w:tcPr>
            <w:tcW w:w="3623" w:type="dxa"/>
            <w:vAlign w:val="center"/>
          </w:tcPr>
          <w:p w14:paraId="5B1215C9">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3DC71471">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7F2120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5FFBFCF6">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2041</w:t>
            </w:r>
          </w:p>
        </w:tc>
        <w:tc>
          <w:tcPr>
            <w:tcW w:w="3623" w:type="dxa"/>
            <w:vAlign w:val="center"/>
          </w:tcPr>
          <w:p w14:paraId="001D4B90">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50AFFD9A">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44AE24A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3BD18A25">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2042</w:t>
            </w:r>
          </w:p>
        </w:tc>
        <w:tc>
          <w:tcPr>
            <w:tcW w:w="3623" w:type="dxa"/>
            <w:vAlign w:val="center"/>
          </w:tcPr>
          <w:p w14:paraId="48D966E0">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635DAEF1">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21B297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1E28FAFC">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2043</w:t>
            </w:r>
          </w:p>
        </w:tc>
        <w:tc>
          <w:tcPr>
            <w:tcW w:w="3623" w:type="dxa"/>
            <w:vAlign w:val="center"/>
          </w:tcPr>
          <w:p w14:paraId="3E5A89E4">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007FBE40">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67B868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63238314">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2044</w:t>
            </w:r>
          </w:p>
        </w:tc>
        <w:tc>
          <w:tcPr>
            <w:tcW w:w="3623" w:type="dxa"/>
            <w:vAlign w:val="center"/>
          </w:tcPr>
          <w:p w14:paraId="2D609560">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7E77F1A5">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4BE0EB8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35C99838">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2045</w:t>
            </w:r>
          </w:p>
        </w:tc>
        <w:tc>
          <w:tcPr>
            <w:tcW w:w="3623" w:type="dxa"/>
            <w:vAlign w:val="center"/>
          </w:tcPr>
          <w:p w14:paraId="3880EF52">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488363DD">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3B6C59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6B2AFBEA">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2046</w:t>
            </w:r>
          </w:p>
        </w:tc>
        <w:tc>
          <w:tcPr>
            <w:tcW w:w="3623" w:type="dxa"/>
            <w:vAlign w:val="center"/>
          </w:tcPr>
          <w:p w14:paraId="379CB438">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445F6A48">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21A85A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780DFC52">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2047</w:t>
            </w:r>
          </w:p>
        </w:tc>
        <w:tc>
          <w:tcPr>
            <w:tcW w:w="3623" w:type="dxa"/>
            <w:vAlign w:val="center"/>
          </w:tcPr>
          <w:p w14:paraId="19C47074">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33B21ACA">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04BAC3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63AF3421">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2048</w:t>
            </w:r>
          </w:p>
        </w:tc>
        <w:tc>
          <w:tcPr>
            <w:tcW w:w="3623" w:type="dxa"/>
            <w:vAlign w:val="center"/>
          </w:tcPr>
          <w:p w14:paraId="6DCE408E">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16B9B58F">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4ED5E3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10BE6219">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2049</w:t>
            </w:r>
          </w:p>
        </w:tc>
        <w:tc>
          <w:tcPr>
            <w:tcW w:w="3623" w:type="dxa"/>
            <w:vAlign w:val="center"/>
          </w:tcPr>
          <w:p w14:paraId="49EEA008">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72872EE2">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1D5290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13E1EFC3">
            <w:pPr>
              <w:topLinePunct/>
              <w:snapToGrid w:val="0"/>
              <w:spacing w:line="240" w:lineRule="auto"/>
              <w:jc w:val="center"/>
              <w:rPr>
                <w:rFonts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2050</w:t>
            </w:r>
          </w:p>
        </w:tc>
        <w:tc>
          <w:tcPr>
            <w:tcW w:w="3623" w:type="dxa"/>
            <w:vAlign w:val="center"/>
          </w:tcPr>
          <w:p w14:paraId="282BBC6F">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1.68</w:t>
            </w:r>
          </w:p>
        </w:tc>
        <w:tc>
          <w:tcPr>
            <w:tcW w:w="3139" w:type="dxa"/>
            <w:vAlign w:val="center"/>
          </w:tcPr>
          <w:p w14:paraId="13AB3988">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 xml:space="preserve">3.32 </w:t>
            </w:r>
          </w:p>
        </w:tc>
      </w:tr>
      <w:tr w14:paraId="64E85C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38C71620">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3623" w:type="dxa"/>
            <w:shd w:val="clear" w:color="auto" w:fill="auto"/>
            <w:vAlign w:val="center"/>
          </w:tcPr>
          <w:p w14:paraId="538E77F7">
            <w:pPr>
              <w:topLinePunct/>
              <w:snapToGrid w:val="0"/>
              <w:spacing w:line="240" w:lineRule="auto"/>
              <w:jc w:val="center"/>
              <w:rPr>
                <w:rFonts w:hint="default" w:ascii="Times New Roman" w:hAnsi="Times New Roman" w:cs="Times New Roman"/>
                <w:color w:val="000000" w:themeColor="text1"/>
                <w:kern w:val="0"/>
                <w:sz w:val="24"/>
                <w:szCs w:val="24"/>
                <w:lang w:val="en-US"/>
              </w:rPr>
            </w:pPr>
            <w:r>
              <w:rPr>
                <w:rFonts w:hint="eastAsia" w:ascii="Times New Roman" w:hAnsi="Times New Roman" w:cs="Times New Roman"/>
                <w:color w:val="000000" w:themeColor="text1"/>
                <w:kern w:val="0"/>
                <w:sz w:val="24"/>
                <w:szCs w:val="24"/>
                <w:lang w:val="en-US" w:eastAsia="zh-CN"/>
              </w:rPr>
              <w:t>50.57</w:t>
            </w:r>
          </w:p>
        </w:tc>
        <w:tc>
          <w:tcPr>
            <w:tcW w:w="3139" w:type="dxa"/>
            <w:vAlign w:val="center"/>
          </w:tcPr>
          <w:p w14:paraId="415148C8">
            <w:pPr>
              <w:topLinePunct/>
              <w:snapToGrid w:val="0"/>
              <w:spacing w:line="240" w:lineRule="auto"/>
              <w:jc w:val="center"/>
              <w:rPr>
                <w:rFonts w:hint="eastAsia"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rPr>
              <w:t xml:space="preserve">100.00 </w:t>
            </w:r>
          </w:p>
        </w:tc>
      </w:tr>
    </w:tbl>
    <w:p w14:paraId="19D024CB">
      <w:pPr>
        <w:pStyle w:val="174"/>
        <w:topLinePunct/>
        <w:rPr>
          <w:rFonts w:ascii="Times New Roman" w:hAnsi="Times New Roman" w:cs="Times New Roman"/>
          <w:color w:val="000000" w:themeColor="text1"/>
          <w:sz w:val="28"/>
          <w:szCs w:val="28"/>
        </w:rPr>
      </w:pPr>
      <w:bookmarkStart w:id="43" w:name="_Toc24503"/>
      <w:r>
        <w:rPr>
          <w:rFonts w:ascii="Times New Roman" w:hAnsi="Times New Roman" w:cs="Times New Roman"/>
          <w:color w:val="000000" w:themeColor="text1"/>
          <w:sz w:val="28"/>
          <w:szCs w:val="28"/>
        </w:rPr>
        <w:t>二、公众参与</w:t>
      </w:r>
      <w:bookmarkEnd w:id="43"/>
    </w:p>
    <w:p w14:paraId="53C88B6B">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生态修复方案的公众参与包括全程参与和全面参与。它是收集当地土地管理及相关部门、矿山企业和矿区周边区域公众对项目占地及开展后期矿区生态修复工作的意见和建议，以明项目土地复垦的可行性，同时监督环境保护和修复工作的顺利实施，实现矿区生态修复的民主化、公众化，从而有利于最大限度地发挥矿区生态修复的综合效益和长远效益，使经济效益、社会效益和环境效益得到统一。</w:t>
      </w:r>
    </w:p>
    <w:p w14:paraId="25AADA3D">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（一）方案编制中公众参与</w:t>
      </w:r>
    </w:p>
    <w:p w14:paraId="29636D1F">
      <w:pPr>
        <w:pStyle w:val="178"/>
        <w:topLinePunct/>
        <w:rPr>
          <w:rFonts w:ascii="Times New Roman" w:hAnsi="Times New Roman" w:cs="Times New Roman"/>
          <w:color w:val="000000" w:themeColor="text1"/>
        </w:rPr>
      </w:pPr>
      <w:r>
        <w:rPr>
          <w:rFonts w:ascii="Times New Roman" w:hAnsi="Times New Roman" w:cs="Times New Roman"/>
          <w:color w:val="000000" w:themeColor="text1"/>
        </w:rPr>
        <w:t>方案的公众参与包括前期准备、组织公众参与及实地调研、方案公示、咨询相关部门意见等方面。矿区生态修复公众参与的前期准备包括：了解当地基本资料、调查土地利用现状及对复垦方向的意愿等，通过前期实地调研，结合公众所提意见，让项目区公众参与到项目中来，加强当地群众对复垦项目的认识与了解，深化编制单位对当地实际情况的感性认识。方案编制初稿完成后，在送审前，将矿区生态修复方案中损毁土地情况、工程措施内容等予以公告，公告结束后听取项目所在地自然资源、农业等相关部门对方案的意见及建议，进行修改完善。</w:t>
      </w:r>
    </w:p>
    <w:p w14:paraId="69F2BD15">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（二）后续公众全程全面参与</w:t>
      </w:r>
    </w:p>
    <w:p w14:paraId="153CF520">
      <w:pPr>
        <w:pStyle w:val="178"/>
        <w:topLinePunct/>
        <w:rPr>
          <w:rFonts w:ascii="Times New Roman" w:hAnsi="Times New Roman" w:cs="Times New Roman"/>
          <w:color w:val="000000" w:themeColor="text1"/>
        </w:rPr>
      </w:pPr>
      <w:r>
        <w:rPr>
          <w:rFonts w:ascii="Times New Roman" w:hAnsi="Times New Roman" w:cs="Times New Roman"/>
          <w:color w:val="000000" w:themeColor="text1"/>
        </w:rPr>
        <w:t>方案实施过程中，为加强公众参与，矿区生态修复实施单位应设立土地复垦意见征集网上信箱和论坛，确保公众意见有通畅的表达渠道。每三年组织当地群众、相关职能部门和专家代表，对矿区生态修复实施情况进行一次实地考察验收。根据考察验收的实际情况，以及通过各种渠道征集到公众意见，对矿区生态修复方案和计划进行调整修改。修改后的方案和计划上报自然资源主管部门备案。</w:t>
      </w:r>
    </w:p>
    <w:p w14:paraId="5F4277B4">
      <w:pPr>
        <w:pStyle w:val="178"/>
        <w:topLinePunct/>
        <w:rPr>
          <w:rFonts w:ascii="Times New Roman" w:hAnsi="Times New Roman" w:cs="Times New Roman"/>
          <w:color w:val="000000" w:themeColor="text1"/>
        </w:rPr>
      </w:pPr>
      <w:r>
        <w:rPr>
          <w:rFonts w:ascii="Times New Roman" w:hAnsi="Times New Roman" w:cs="Times New Roman"/>
          <w:color w:val="000000" w:themeColor="text1"/>
        </w:rPr>
        <w:t>竣工验收阶段中，矿区生态修复工程竣工以前，通过网络、报纸等媒体发布工程竣工验收消息，广大群众可参与对土地复垦项目数量和质量的评价。向自然资源主管部门提出竣工验收申请，并邀请相关职能部门和专家参与竣工验收。</w:t>
      </w:r>
    </w:p>
    <w:p w14:paraId="1BB70170">
      <w:pPr>
        <w:pStyle w:val="178"/>
        <w:topLinePunct/>
        <w:rPr>
          <w:rFonts w:ascii="Times New Roman" w:hAnsi="Times New Roman" w:cs="Times New Roman"/>
          <w:color w:val="000000" w:themeColor="text1"/>
        </w:rPr>
      </w:pPr>
      <w:r>
        <w:rPr>
          <w:rFonts w:ascii="Times New Roman" w:hAnsi="Times New Roman" w:cs="Times New Roman"/>
          <w:color w:val="000000" w:themeColor="text1"/>
        </w:rPr>
        <w:t>竣工验收合格后，组织群众、相关职能部门和专家代表召开座谈会，征求对修复后土地利用权属分配的意见和建议。</w:t>
      </w:r>
    </w:p>
    <w:p w14:paraId="1524BAC7">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（三）公众调查情况分析</w:t>
      </w:r>
    </w:p>
    <w:p w14:paraId="5B8912C7">
      <w:pPr>
        <w:pStyle w:val="178"/>
        <w:topLinePunct/>
        <w:rPr>
          <w:rFonts w:ascii="Times New Roman" w:hAnsi="Times New Roman" w:cs="Times New Roman"/>
          <w:color w:val="000000" w:themeColor="text1"/>
        </w:rPr>
      </w:pPr>
      <w:r>
        <w:rPr>
          <w:rFonts w:ascii="Times New Roman" w:hAnsi="Times New Roman" w:cs="Times New Roman"/>
          <w:color w:val="000000" w:themeColor="text1"/>
        </w:rPr>
        <w:t>a.调查问卷的发放</w:t>
      </w:r>
    </w:p>
    <w:p w14:paraId="0D17A12C">
      <w:pPr>
        <w:pStyle w:val="178"/>
        <w:topLinePunct/>
        <w:rPr>
          <w:rFonts w:ascii="Times New Roman" w:hAnsi="Times New Roman" w:cs="Times New Roman"/>
          <w:color w:val="000000" w:themeColor="text1"/>
        </w:rPr>
      </w:pPr>
      <w:r>
        <w:rPr>
          <w:rFonts w:ascii="Times New Roman" w:hAnsi="Times New Roman" w:cs="Times New Roman"/>
          <w:color w:val="000000" w:themeColor="text1"/>
        </w:rPr>
        <w:t>方案编制人员采取问卷调查的形式，公开征集矿山领导、职工和当地居民的意见。收集矿区周边公众对于矿区开采以及修复工作的意见。</w:t>
      </w:r>
    </w:p>
    <w:p w14:paraId="18839C18">
      <w:pPr>
        <w:pStyle w:val="178"/>
        <w:topLinePunct/>
        <w:rPr>
          <w:rFonts w:ascii="Times New Roman" w:hAnsi="Times New Roman" w:cs="Times New Roman"/>
          <w:color w:val="000000" w:themeColor="text1"/>
        </w:rPr>
      </w:pPr>
      <w:r>
        <w:rPr>
          <w:rFonts w:ascii="Times New Roman" w:hAnsi="Times New Roman" w:cs="Times New Roman"/>
          <w:color w:val="000000" w:themeColor="text1"/>
        </w:rPr>
        <w:t>b.调查对象及问卷发放</w:t>
      </w:r>
    </w:p>
    <w:p w14:paraId="0F0B24D3">
      <w:pPr>
        <w:pStyle w:val="178"/>
        <w:topLinePunct/>
        <w:rPr>
          <w:rFonts w:ascii="Times New Roman" w:hAnsi="Times New Roman" w:cs="Times New Roman"/>
          <w:color w:val="000000" w:themeColor="text1"/>
        </w:rPr>
      </w:pPr>
      <w:r>
        <w:rPr>
          <w:rFonts w:ascii="Times New Roman" w:hAnsi="Times New Roman" w:cs="Times New Roman"/>
          <w:color w:val="000000" w:themeColor="text1"/>
        </w:rPr>
        <w:t>为充分反映公众对本项目的意见，使调查结果具有代表性，本次调查共发放调查表20份，收回有效调查表20份，回收率100%，公众参与人员统计情况见表7-2所示。</w:t>
      </w:r>
    </w:p>
    <w:p w14:paraId="66A2C207">
      <w:pPr>
        <w:pStyle w:val="178"/>
        <w:topLinePunct/>
        <w:rPr>
          <w:rFonts w:ascii="Times New Roman" w:hAnsi="Times New Roman" w:cs="Times New Roman"/>
          <w:color w:val="000000" w:themeColor="text1"/>
        </w:rPr>
      </w:pPr>
    </w:p>
    <w:p w14:paraId="014447AB">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表7-2 公众参与人员统计情况表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99"/>
        <w:gridCol w:w="925"/>
        <w:gridCol w:w="773"/>
        <w:gridCol w:w="771"/>
        <w:gridCol w:w="1083"/>
        <w:gridCol w:w="1235"/>
        <w:gridCol w:w="1081"/>
        <w:gridCol w:w="1077"/>
        <w:gridCol w:w="1142"/>
      </w:tblGrid>
      <w:tr w14:paraId="01A3C5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646" w:type="pct"/>
            <w:vMerge w:val="restart"/>
            <w:vAlign w:val="center"/>
          </w:tcPr>
          <w:p w14:paraId="1F775B08">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单位名称</w:t>
            </w:r>
          </w:p>
        </w:tc>
        <w:tc>
          <w:tcPr>
            <w:tcW w:w="498" w:type="pct"/>
            <w:vMerge w:val="restart"/>
            <w:vAlign w:val="center"/>
          </w:tcPr>
          <w:p w14:paraId="6E2339D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调查份数（份）</w:t>
            </w:r>
          </w:p>
        </w:tc>
        <w:tc>
          <w:tcPr>
            <w:tcW w:w="1414" w:type="pct"/>
            <w:gridSpan w:val="3"/>
            <w:vAlign w:val="center"/>
          </w:tcPr>
          <w:p w14:paraId="443430E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按年龄构成分组（岁）</w:t>
            </w:r>
          </w:p>
        </w:tc>
        <w:tc>
          <w:tcPr>
            <w:tcW w:w="665" w:type="pct"/>
            <w:vAlign w:val="center"/>
          </w:tcPr>
          <w:p w14:paraId="7C0277E5">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性别比较</w:t>
            </w:r>
          </w:p>
        </w:tc>
        <w:tc>
          <w:tcPr>
            <w:tcW w:w="1777" w:type="pct"/>
            <w:gridSpan w:val="3"/>
            <w:vAlign w:val="center"/>
          </w:tcPr>
          <w:p w14:paraId="1253F20D">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按文化程度分组</w:t>
            </w:r>
          </w:p>
        </w:tc>
      </w:tr>
      <w:tr w14:paraId="079A0C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646" w:type="pct"/>
            <w:vMerge w:val="continue"/>
            <w:vAlign w:val="center"/>
          </w:tcPr>
          <w:p w14:paraId="46B21F92">
            <w:pPr>
              <w:topLinePunct/>
              <w:snapToGrid w:val="0"/>
              <w:spacing w:line="240" w:lineRule="auto"/>
              <w:jc w:val="center"/>
              <w:rPr>
                <w:rFonts w:ascii="Times New Roman" w:hAnsi="Times New Roman" w:cs="Times New Roman"/>
                <w:color w:val="000000" w:themeColor="text1"/>
                <w:kern w:val="0"/>
                <w:sz w:val="24"/>
                <w:szCs w:val="24"/>
              </w:rPr>
            </w:pPr>
          </w:p>
        </w:tc>
        <w:tc>
          <w:tcPr>
            <w:tcW w:w="498" w:type="pct"/>
            <w:vMerge w:val="continue"/>
            <w:vAlign w:val="center"/>
          </w:tcPr>
          <w:p w14:paraId="26EA89CA">
            <w:pPr>
              <w:topLinePunct/>
              <w:snapToGrid w:val="0"/>
              <w:spacing w:line="240" w:lineRule="auto"/>
              <w:jc w:val="center"/>
              <w:rPr>
                <w:rFonts w:ascii="Times New Roman" w:hAnsi="Times New Roman" w:cs="Times New Roman"/>
                <w:color w:val="000000" w:themeColor="text1"/>
                <w:kern w:val="0"/>
                <w:sz w:val="24"/>
                <w:szCs w:val="24"/>
              </w:rPr>
            </w:pPr>
          </w:p>
        </w:tc>
        <w:tc>
          <w:tcPr>
            <w:tcW w:w="416" w:type="pct"/>
            <w:vAlign w:val="center"/>
          </w:tcPr>
          <w:p w14:paraId="06A46AFD">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25-40</w:t>
            </w:r>
          </w:p>
        </w:tc>
        <w:tc>
          <w:tcPr>
            <w:tcW w:w="415" w:type="pct"/>
            <w:vAlign w:val="center"/>
          </w:tcPr>
          <w:p w14:paraId="4EFFD39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41-55</w:t>
            </w:r>
          </w:p>
        </w:tc>
        <w:tc>
          <w:tcPr>
            <w:tcW w:w="583" w:type="pct"/>
            <w:vAlign w:val="center"/>
          </w:tcPr>
          <w:p w14:paraId="73696641">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56以上</w:t>
            </w:r>
          </w:p>
        </w:tc>
        <w:tc>
          <w:tcPr>
            <w:tcW w:w="665" w:type="pct"/>
            <w:vAlign w:val="center"/>
          </w:tcPr>
          <w:p w14:paraId="3928D586">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男：女</w:t>
            </w:r>
          </w:p>
        </w:tc>
        <w:tc>
          <w:tcPr>
            <w:tcW w:w="582" w:type="pct"/>
            <w:vAlign w:val="center"/>
          </w:tcPr>
          <w:p w14:paraId="45AD1B3A">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初中及以下</w:t>
            </w:r>
          </w:p>
        </w:tc>
        <w:tc>
          <w:tcPr>
            <w:tcW w:w="580" w:type="pct"/>
            <w:vAlign w:val="center"/>
          </w:tcPr>
          <w:p w14:paraId="7A913062">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高中及中专</w:t>
            </w:r>
          </w:p>
        </w:tc>
        <w:tc>
          <w:tcPr>
            <w:tcW w:w="615" w:type="pct"/>
            <w:vAlign w:val="center"/>
          </w:tcPr>
          <w:p w14:paraId="75D1B2B3">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大专及以上</w:t>
            </w:r>
          </w:p>
        </w:tc>
      </w:tr>
      <w:tr w14:paraId="4C9985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646" w:type="pct"/>
            <w:vAlign w:val="center"/>
          </w:tcPr>
          <w:p w14:paraId="18005C37">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鸡东县</w:t>
            </w:r>
          </w:p>
        </w:tc>
        <w:tc>
          <w:tcPr>
            <w:tcW w:w="498" w:type="pct"/>
            <w:vAlign w:val="center"/>
          </w:tcPr>
          <w:p w14:paraId="04D179C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w:t>
            </w:r>
          </w:p>
        </w:tc>
        <w:tc>
          <w:tcPr>
            <w:tcW w:w="416" w:type="pct"/>
            <w:vAlign w:val="center"/>
          </w:tcPr>
          <w:p w14:paraId="1CD568A4">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415" w:type="pct"/>
            <w:vAlign w:val="center"/>
          </w:tcPr>
          <w:p w14:paraId="645D22B2">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8</w:t>
            </w:r>
          </w:p>
        </w:tc>
        <w:tc>
          <w:tcPr>
            <w:tcW w:w="583" w:type="pct"/>
            <w:vAlign w:val="center"/>
          </w:tcPr>
          <w:p w14:paraId="6BD0F550">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w:t>
            </w:r>
          </w:p>
        </w:tc>
        <w:tc>
          <w:tcPr>
            <w:tcW w:w="665" w:type="pct"/>
            <w:vAlign w:val="center"/>
          </w:tcPr>
          <w:p w14:paraId="6BE05DD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18：2</w:t>
            </w:r>
          </w:p>
        </w:tc>
        <w:tc>
          <w:tcPr>
            <w:tcW w:w="582" w:type="pct"/>
            <w:vAlign w:val="center"/>
          </w:tcPr>
          <w:p w14:paraId="58AD9448">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580" w:type="pct"/>
            <w:vAlign w:val="center"/>
          </w:tcPr>
          <w:p w14:paraId="08E42E07">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w:t>
            </w:r>
          </w:p>
        </w:tc>
        <w:tc>
          <w:tcPr>
            <w:tcW w:w="615" w:type="pct"/>
            <w:vAlign w:val="center"/>
          </w:tcPr>
          <w:p w14:paraId="7F0B19AF">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r>
      <w:tr w14:paraId="2ADFAE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646" w:type="pct"/>
            <w:vAlign w:val="center"/>
          </w:tcPr>
          <w:p w14:paraId="20097B22">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合计</w:t>
            </w:r>
          </w:p>
        </w:tc>
        <w:tc>
          <w:tcPr>
            <w:tcW w:w="498" w:type="pct"/>
            <w:vAlign w:val="center"/>
          </w:tcPr>
          <w:p w14:paraId="7A20907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w:t>
            </w:r>
          </w:p>
        </w:tc>
        <w:tc>
          <w:tcPr>
            <w:tcW w:w="416" w:type="pct"/>
            <w:vAlign w:val="center"/>
          </w:tcPr>
          <w:p w14:paraId="74B97C1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415" w:type="pct"/>
            <w:vAlign w:val="center"/>
          </w:tcPr>
          <w:p w14:paraId="21B1698A">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8</w:t>
            </w:r>
          </w:p>
        </w:tc>
        <w:tc>
          <w:tcPr>
            <w:tcW w:w="583" w:type="pct"/>
            <w:vAlign w:val="center"/>
          </w:tcPr>
          <w:p w14:paraId="234E89A3">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w:t>
            </w:r>
          </w:p>
        </w:tc>
        <w:tc>
          <w:tcPr>
            <w:tcW w:w="665" w:type="pct"/>
            <w:vAlign w:val="center"/>
          </w:tcPr>
          <w:p w14:paraId="3E1BE11F">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18：2</w:t>
            </w:r>
          </w:p>
        </w:tc>
        <w:tc>
          <w:tcPr>
            <w:tcW w:w="582" w:type="pct"/>
            <w:vAlign w:val="center"/>
          </w:tcPr>
          <w:p w14:paraId="1CB3AC7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580" w:type="pct"/>
            <w:vAlign w:val="center"/>
          </w:tcPr>
          <w:p w14:paraId="736D2117">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w:t>
            </w:r>
          </w:p>
        </w:tc>
        <w:tc>
          <w:tcPr>
            <w:tcW w:w="615" w:type="pct"/>
            <w:vAlign w:val="center"/>
          </w:tcPr>
          <w:p w14:paraId="3622F59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r>
    </w:tbl>
    <w:p w14:paraId="0AE04E33">
      <w:pPr>
        <w:pStyle w:val="178"/>
        <w:topLinePunct/>
        <w:rPr>
          <w:rFonts w:ascii="Times New Roman" w:hAnsi="Times New Roman" w:cs="Times New Roman"/>
          <w:color w:val="000000" w:themeColor="text1"/>
        </w:rPr>
      </w:pPr>
      <w:r>
        <w:rPr>
          <w:rFonts w:ascii="Times New Roman" w:hAnsi="Times New Roman" w:cs="Times New Roman"/>
          <w:color w:val="000000" w:themeColor="text1"/>
        </w:rPr>
        <w:t>c.调查结果统计</w:t>
      </w:r>
    </w:p>
    <w:p w14:paraId="71AB5C07">
      <w:pPr>
        <w:pStyle w:val="178"/>
        <w:topLinePunct/>
        <w:rPr>
          <w:rFonts w:ascii="Times New Roman" w:hAnsi="Times New Roman" w:cs="Times New Roman"/>
          <w:color w:val="000000" w:themeColor="text1"/>
        </w:rPr>
      </w:pPr>
      <w:r>
        <w:rPr>
          <w:rFonts w:ascii="Times New Roman" w:hAnsi="Times New Roman" w:cs="Times New Roman"/>
          <w:color w:val="000000" w:themeColor="text1"/>
        </w:rPr>
        <w:t>通过对收回的调查问卷整理、分析，获得公众参与问卷调查结果统计表，见表7-3。</w:t>
      </w:r>
    </w:p>
    <w:p w14:paraId="62CF5232">
      <w:pPr>
        <w:tabs>
          <w:tab w:val="left" w:pos="3403"/>
        </w:tabs>
        <w:spacing w:before="28"/>
        <w:ind w:left="2" w:right="44"/>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表7-3 公众参与问卷调查结果统计表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623"/>
        <w:gridCol w:w="5344"/>
        <w:gridCol w:w="1043"/>
        <w:gridCol w:w="1045"/>
        <w:gridCol w:w="1045"/>
      </w:tblGrid>
      <w:tr w14:paraId="082D0F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83" w:hRule="atLeast"/>
          <w:tblHeader/>
          <w:jc w:val="center"/>
        </w:trPr>
        <w:tc>
          <w:tcPr>
            <w:tcW w:w="343" w:type="pct"/>
            <w:vMerge w:val="restart"/>
            <w:shd w:val="clear" w:color="auto" w:fill="auto"/>
            <w:vAlign w:val="center"/>
          </w:tcPr>
          <w:p w14:paraId="0AF2733D">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序号</w:t>
            </w:r>
          </w:p>
        </w:tc>
        <w:tc>
          <w:tcPr>
            <w:tcW w:w="2936" w:type="pct"/>
            <w:vMerge w:val="restart"/>
            <w:shd w:val="clear" w:color="auto" w:fill="auto"/>
            <w:vAlign w:val="center"/>
          </w:tcPr>
          <w:p w14:paraId="2A3B4401">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问        题</w:t>
            </w:r>
          </w:p>
        </w:tc>
        <w:tc>
          <w:tcPr>
            <w:tcW w:w="1720" w:type="pct"/>
            <w:gridSpan w:val="3"/>
            <w:shd w:val="clear" w:color="auto" w:fill="auto"/>
            <w:vAlign w:val="center"/>
          </w:tcPr>
          <w:p w14:paraId="69E80E5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统计结果（%）</w:t>
            </w:r>
          </w:p>
        </w:tc>
      </w:tr>
      <w:tr w14:paraId="3AD2E5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83" w:hRule="atLeast"/>
          <w:tblHeader/>
          <w:jc w:val="center"/>
        </w:trPr>
        <w:tc>
          <w:tcPr>
            <w:tcW w:w="343" w:type="pct"/>
            <w:vMerge w:val="continue"/>
            <w:vAlign w:val="center"/>
          </w:tcPr>
          <w:p w14:paraId="0206EA0F">
            <w:pPr>
              <w:topLinePunct/>
              <w:snapToGrid w:val="0"/>
              <w:spacing w:line="240" w:lineRule="auto"/>
              <w:jc w:val="center"/>
              <w:rPr>
                <w:rFonts w:ascii="Times New Roman" w:hAnsi="Times New Roman" w:cs="Times New Roman"/>
                <w:color w:val="000000" w:themeColor="text1"/>
                <w:kern w:val="0"/>
                <w:sz w:val="24"/>
                <w:szCs w:val="24"/>
              </w:rPr>
            </w:pPr>
          </w:p>
        </w:tc>
        <w:tc>
          <w:tcPr>
            <w:tcW w:w="2936" w:type="pct"/>
            <w:vMerge w:val="continue"/>
            <w:vAlign w:val="center"/>
          </w:tcPr>
          <w:p w14:paraId="31A22959">
            <w:pPr>
              <w:topLinePunct/>
              <w:snapToGrid w:val="0"/>
              <w:spacing w:line="240" w:lineRule="auto"/>
              <w:jc w:val="center"/>
              <w:rPr>
                <w:rFonts w:ascii="Times New Roman" w:hAnsi="Times New Roman" w:cs="Times New Roman"/>
                <w:color w:val="000000" w:themeColor="text1"/>
                <w:kern w:val="0"/>
                <w:sz w:val="24"/>
                <w:szCs w:val="24"/>
              </w:rPr>
            </w:pPr>
          </w:p>
        </w:tc>
        <w:tc>
          <w:tcPr>
            <w:tcW w:w="573" w:type="pct"/>
            <w:shd w:val="clear" w:color="auto" w:fill="auto"/>
            <w:vAlign w:val="center"/>
          </w:tcPr>
          <w:p w14:paraId="59C0AE04">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A</w:t>
            </w:r>
          </w:p>
        </w:tc>
        <w:tc>
          <w:tcPr>
            <w:tcW w:w="574" w:type="pct"/>
            <w:shd w:val="clear" w:color="auto" w:fill="auto"/>
            <w:vAlign w:val="center"/>
          </w:tcPr>
          <w:p w14:paraId="03664F0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B</w:t>
            </w:r>
          </w:p>
        </w:tc>
        <w:tc>
          <w:tcPr>
            <w:tcW w:w="574" w:type="pct"/>
            <w:shd w:val="clear" w:color="auto" w:fill="auto"/>
            <w:vAlign w:val="center"/>
          </w:tcPr>
          <w:p w14:paraId="65230CA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C</w:t>
            </w:r>
          </w:p>
        </w:tc>
      </w:tr>
      <w:tr w14:paraId="411D60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642" w:hRule="atLeast"/>
          <w:jc w:val="center"/>
        </w:trPr>
        <w:tc>
          <w:tcPr>
            <w:tcW w:w="343" w:type="pct"/>
            <w:shd w:val="clear" w:color="auto" w:fill="auto"/>
            <w:vAlign w:val="center"/>
          </w:tcPr>
          <w:p w14:paraId="46FB54BF">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p>
        </w:tc>
        <w:tc>
          <w:tcPr>
            <w:tcW w:w="2936" w:type="pct"/>
            <w:shd w:val="clear" w:color="auto" w:fill="auto"/>
            <w:vAlign w:val="center"/>
          </w:tcPr>
          <w:p w14:paraId="485C4AC7">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您对本项目了解程度：</w:t>
            </w:r>
          </w:p>
          <w:p w14:paraId="74DB69DD">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A很了解；B一般了解；C不了解</w:t>
            </w:r>
          </w:p>
        </w:tc>
        <w:tc>
          <w:tcPr>
            <w:tcW w:w="573" w:type="pct"/>
            <w:shd w:val="clear" w:color="auto" w:fill="auto"/>
            <w:vAlign w:val="center"/>
          </w:tcPr>
          <w:p w14:paraId="299E808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70.00</w:t>
            </w:r>
          </w:p>
        </w:tc>
        <w:tc>
          <w:tcPr>
            <w:tcW w:w="574" w:type="pct"/>
            <w:shd w:val="clear" w:color="auto" w:fill="auto"/>
            <w:vAlign w:val="center"/>
          </w:tcPr>
          <w:p w14:paraId="6C77C7F3">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15.00</w:t>
            </w:r>
          </w:p>
        </w:tc>
        <w:tc>
          <w:tcPr>
            <w:tcW w:w="574" w:type="pct"/>
            <w:shd w:val="clear" w:color="auto" w:fill="auto"/>
            <w:vAlign w:val="center"/>
          </w:tcPr>
          <w:p w14:paraId="4EAB2B1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15.00</w:t>
            </w:r>
          </w:p>
        </w:tc>
      </w:tr>
      <w:tr w14:paraId="46EE95B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533" w:hRule="atLeast"/>
          <w:jc w:val="center"/>
        </w:trPr>
        <w:tc>
          <w:tcPr>
            <w:tcW w:w="343" w:type="pct"/>
            <w:shd w:val="clear" w:color="auto" w:fill="auto"/>
            <w:vAlign w:val="center"/>
          </w:tcPr>
          <w:p w14:paraId="00A1BE53">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w:t>
            </w:r>
          </w:p>
        </w:tc>
        <w:tc>
          <w:tcPr>
            <w:tcW w:w="2936" w:type="pct"/>
            <w:shd w:val="clear" w:color="auto" w:fill="auto"/>
            <w:vAlign w:val="center"/>
          </w:tcPr>
          <w:p w14:paraId="17BD46B5">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您认为本项目是否有利于地方经济发展：</w:t>
            </w:r>
          </w:p>
          <w:p w14:paraId="07AC7832">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A是；B否；C不清楚</w:t>
            </w:r>
          </w:p>
        </w:tc>
        <w:tc>
          <w:tcPr>
            <w:tcW w:w="573" w:type="pct"/>
            <w:shd w:val="clear" w:color="auto" w:fill="auto"/>
            <w:vAlign w:val="center"/>
          </w:tcPr>
          <w:p w14:paraId="16D2991F">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90.00</w:t>
            </w:r>
          </w:p>
        </w:tc>
        <w:tc>
          <w:tcPr>
            <w:tcW w:w="574" w:type="pct"/>
            <w:shd w:val="clear" w:color="auto" w:fill="auto"/>
            <w:vAlign w:val="center"/>
          </w:tcPr>
          <w:p w14:paraId="4C48C8B6">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5.00</w:t>
            </w:r>
          </w:p>
        </w:tc>
        <w:tc>
          <w:tcPr>
            <w:tcW w:w="574" w:type="pct"/>
            <w:shd w:val="clear" w:color="auto" w:fill="auto"/>
            <w:vAlign w:val="center"/>
          </w:tcPr>
          <w:p w14:paraId="44EB1DE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5.00</w:t>
            </w:r>
          </w:p>
        </w:tc>
      </w:tr>
      <w:tr w14:paraId="31C58B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642" w:hRule="atLeast"/>
          <w:jc w:val="center"/>
        </w:trPr>
        <w:tc>
          <w:tcPr>
            <w:tcW w:w="343" w:type="pct"/>
            <w:shd w:val="clear" w:color="auto" w:fill="auto"/>
            <w:vAlign w:val="center"/>
          </w:tcPr>
          <w:p w14:paraId="5339F9D4">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w:t>
            </w:r>
          </w:p>
        </w:tc>
        <w:tc>
          <w:tcPr>
            <w:tcW w:w="2936" w:type="pct"/>
            <w:shd w:val="clear" w:color="auto" w:fill="auto"/>
            <w:vAlign w:val="center"/>
          </w:tcPr>
          <w:p w14:paraId="22471864">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是否担心开采影响生态环境？</w:t>
            </w:r>
          </w:p>
          <w:p w14:paraId="1F3833F7">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A担心；B不担心；C无所谓</w:t>
            </w:r>
          </w:p>
        </w:tc>
        <w:tc>
          <w:tcPr>
            <w:tcW w:w="573" w:type="pct"/>
            <w:shd w:val="clear" w:color="auto" w:fill="auto"/>
            <w:vAlign w:val="center"/>
          </w:tcPr>
          <w:p w14:paraId="5D6B4CB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80.00</w:t>
            </w:r>
          </w:p>
        </w:tc>
        <w:tc>
          <w:tcPr>
            <w:tcW w:w="574" w:type="pct"/>
            <w:shd w:val="clear" w:color="auto" w:fill="auto"/>
            <w:vAlign w:val="center"/>
          </w:tcPr>
          <w:p w14:paraId="5FFD8241">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15.00</w:t>
            </w:r>
          </w:p>
        </w:tc>
        <w:tc>
          <w:tcPr>
            <w:tcW w:w="574" w:type="pct"/>
            <w:shd w:val="clear" w:color="auto" w:fill="auto"/>
            <w:vAlign w:val="center"/>
          </w:tcPr>
          <w:p w14:paraId="160CB32D">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5.00</w:t>
            </w:r>
          </w:p>
        </w:tc>
      </w:tr>
      <w:tr w14:paraId="3406C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642" w:hRule="atLeast"/>
          <w:jc w:val="center"/>
        </w:trPr>
        <w:tc>
          <w:tcPr>
            <w:tcW w:w="343" w:type="pct"/>
            <w:shd w:val="clear" w:color="auto" w:fill="auto"/>
            <w:vAlign w:val="center"/>
          </w:tcPr>
          <w:p w14:paraId="13B92440">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w:t>
            </w:r>
          </w:p>
        </w:tc>
        <w:tc>
          <w:tcPr>
            <w:tcW w:w="2936" w:type="pct"/>
            <w:shd w:val="clear" w:color="auto" w:fill="auto"/>
            <w:vAlign w:val="center"/>
          </w:tcPr>
          <w:p w14:paraId="588603C2">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您了解矿区生态修复吗？</w:t>
            </w:r>
          </w:p>
          <w:p w14:paraId="0A54E46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A了解；B不了解；C不清楚</w:t>
            </w:r>
          </w:p>
        </w:tc>
        <w:tc>
          <w:tcPr>
            <w:tcW w:w="573" w:type="pct"/>
            <w:shd w:val="clear" w:color="auto" w:fill="auto"/>
            <w:vAlign w:val="center"/>
          </w:tcPr>
          <w:p w14:paraId="72B2410A">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70.00</w:t>
            </w:r>
          </w:p>
        </w:tc>
        <w:tc>
          <w:tcPr>
            <w:tcW w:w="574" w:type="pct"/>
            <w:shd w:val="clear" w:color="auto" w:fill="auto"/>
            <w:vAlign w:val="center"/>
          </w:tcPr>
          <w:p w14:paraId="3C8384CB">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10.00</w:t>
            </w:r>
          </w:p>
        </w:tc>
        <w:tc>
          <w:tcPr>
            <w:tcW w:w="574" w:type="pct"/>
            <w:shd w:val="clear" w:color="auto" w:fill="auto"/>
            <w:vAlign w:val="center"/>
          </w:tcPr>
          <w:p w14:paraId="1F10EF7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20.00</w:t>
            </w:r>
          </w:p>
        </w:tc>
      </w:tr>
      <w:tr w14:paraId="0CB2E5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533" w:hRule="atLeast"/>
          <w:jc w:val="center"/>
        </w:trPr>
        <w:tc>
          <w:tcPr>
            <w:tcW w:w="343" w:type="pct"/>
            <w:shd w:val="clear" w:color="auto" w:fill="auto"/>
            <w:vAlign w:val="center"/>
          </w:tcPr>
          <w:p w14:paraId="5B3B8CC8">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w:t>
            </w:r>
          </w:p>
        </w:tc>
        <w:tc>
          <w:tcPr>
            <w:tcW w:w="2936" w:type="pct"/>
            <w:shd w:val="clear" w:color="auto" w:fill="auto"/>
            <w:vAlign w:val="center"/>
          </w:tcPr>
          <w:p w14:paraId="6D2370A0">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您认为矿区生态修复能否恢复当地生态环境？</w:t>
            </w:r>
          </w:p>
          <w:p w14:paraId="1E492E0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A能；B不能；C不清楚</w:t>
            </w:r>
          </w:p>
        </w:tc>
        <w:tc>
          <w:tcPr>
            <w:tcW w:w="573" w:type="pct"/>
            <w:shd w:val="clear" w:color="auto" w:fill="auto"/>
            <w:vAlign w:val="center"/>
          </w:tcPr>
          <w:p w14:paraId="6283496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90.00</w:t>
            </w:r>
          </w:p>
        </w:tc>
        <w:tc>
          <w:tcPr>
            <w:tcW w:w="574" w:type="pct"/>
            <w:shd w:val="clear" w:color="auto" w:fill="auto"/>
            <w:vAlign w:val="center"/>
          </w:tcPr>
          <w:p w14:paraId="7ABBFB69">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0.00</w:t>
            </w:r>
          </w:p>
        </w:tc>
        <w:tc>
          <w:tcPr>
            <w:tcW w:w="574" w:type="pct"/>
            <w:shd w:val="clear" w:color="auto" w:fill="auto"/>
            <w:vAlign w:val="center"/>
          </w:tcPr>
          <w:p w14:paraId="778EB664">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10.00</w:t>
            </w:r>
          </w:p>
        </w:tc>
      </w:tr>
      <w:tr w14:paraId="115B32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835" w:hRule="atLeast"/>
          <w:jc w:val="center"/>
        </w:trPr>
        <w:tc>
          <w:tcPr>
            <w:tcW w:w="343" w:type="pct"/>
            <w:shd w:val="clear" w:color="auto" w:fill="auto"/>
            <w:vAlign w:val="center"/>
          </w:tcPr>
          <w:p w14:paraId="1BB704B4">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6</w:t>
            </w:r>
          </w:p>
        </w:tc>
        <w:tc>
          <w:tcPr>
            <w:tcW w:w="2936" w:type="pct"/>
            <w:shd w:val="clear" w:color="auto" w:fill="auto"/>
            <w:vAlign w:val="center"/>
          </w:tcPr>
          <w:p w14:paraId="649352B2">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（了解土地复垦后，）您支持矿区生态修复吗？</w:t>
            </w:r>
          </w:p>
          <w:p w14:paraId="77CAA0BF">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A支持；B不支持；C无所谓</w:t>
            </w:r>
          </w:p>
        </w:tc>
        <w:tc>
          <w:tcPr>
            <w:tcW w:w="573" w:type="pct"/>
            <w:shd w:val="clear" w:color="auto" w:fill="auto"/>
            <w:vAlign w:val="center"/>
          </w:tcPr>
          <w:p w14:paraId="54288D78">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95.00</w:t>
            </w:r>
          </w:p>
        </w:tc>
        <w:tc>
          <w:tcPr>
            <w:tcW w:w="574" w:type="pct"/>
            <w:shd w:val="clear" w:color="auto" w:fill="auto"/>
            <w:vAlign w:val="center"/>
          </w:tcPr>
          <w:p w14:paraId="3C05F5B4">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0.00</w:t>
            </w:r>
          </w:p>
        </w:tc>
        <w:tc>
          <w:tcPr>
            <w:tcW w:w="574" w:type="pct"/>
            <w:shd w:val="clear" w:color="auto" w:fill="auto"/>
            <w:vAlign w:val="center"/>
          </w:tcPr>
          <w:p w14:paraId="75B51656">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5.00</w:t>
            </w:r>
          </w:p>
        </w:tc>
      </w:tr>
      <w:tr w14:paraId="160A9F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774" w:hRule="atLeast"/>
          <w:jc w:val="center"/>
        </w:trPr>
        <w:tc>
          <w:tcPr>
            <w:tcW w:w="343" w:type="pct"/>
            <w:shd w:val="clear" w:color="auto" w:fill="auto"/>
            <w:vAlign w:val="center"/>
          </w:tcPr>
          <w:p w14:paraId="534AE444">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w:t>
            </w:r>
          </w:p>
        </w:tc>
        <w:tc>
          <w:tcPr>
            <w:tcW w:w="2936" w:type="pct"/>
            <w:shd w:val="clear" w:color="auto" w:fill="auto"/>
            <w:vAlign w:val="center"/>
          </w:tcPr>
          <w:p w14:paraId="3391939C">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您认为本项目矿区生态修复最适宜方向是什么？</w:t>
            </w:r>
          </w:p>
          <w:p w14:paraId="165F9675">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A耕地；B林地；C草地</w:t>
            </w:r>
          </w:p>
        </w:tc>
        <w:tc>
          <w:tcPr>
            <w:tcW w:w="573" w:type="pct"/>
            <w:shd w:val="clear" w:color="auto" w:fill="auto"/>
            <w:vAlign w:val="center"/>
          </w:tcPr>
          <w:p w14:paraId="35B9F2C8">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15.00</w:t>
            </w:r>
          </w:p>
        </w:tc>
        <w:tc>
          <w:tcPr>
            <w:tcW w:w="574" w:type="pct"/>
            <w:shd w:val="clear" w:color="auto" w:fill="auto"/>
            <w:vAlign w:val="center"/>
          </w:tcPr>
          <w:p w14:paraId="3863AF16">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80.00</w:t>
            </w:r>
          </w:p>
        </w:tc>
        <w:tc>
          <w:tcPr>
            <w:tcW w:w="574" w:type="pct"/>
            <w:shd w:val="clear" w:color="auto" w:fill="auto"/>
            <w:vAlign w:val="center"/>
          </w:tcPr>
          <w:p w14:paraId="41F92703">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5.00</w:t>
            </w:r>
          </w:p>
        </w:tc>
      </w:tr>
      <w:tr w14:paraId="6CE391B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642" w:hRule="atLeast"/>
          <w:jc w:val="center"/>
        </w:trPr>
        <w:tc>
          <w:tcPr>
            <w:tcW w:w="343" w:type="pct"/>
            <w:shd w:val="clear" w:color="auto" w:fill="auto"/>
            <w:vAlign w:val="center"/>
          </w:tcPr>
          <w:p w14:paraId="0E2BA51A">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8</w:t>
            </w:r>
          </w:p>
        </w:tc>
        <w:tc>
          <w:tcPr>
            <w:tcW w:w="2936" w:type="pct"/>
            <w:shd w:val="clear" w:color="auto" w:fill="auto"/>
            <w:vAlign w:val="center"/>
          </w:tcPr>
          <w:p w14:paraId="6C20AAF7">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您愿意监督或参与矿区生态修复吗？</w:t>
            </w:r>
          </w:p>
          <w:p w14:paraId="39BA2B05">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A愿意；B不愿意；C无所谓</w:t>
            </w:r>
          </w:p>
        </w:tc>
        <w:tc>
          <w:tcPr>
            <w:tcW w:w="573" w:type="pct"/>
            <w:shd w:val="clear" w:color="auto" w:fill="auto"/>
            <w:vAlign w:val="center"/>
          </w:tcPr>
          <w:p w14:paraId="0F817785">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95.00</w:t>
            </w:r>
          </w:p>
        </w:tc>
        <w:tc>
          <w:tcPr>
            <w:tcW w:w="574" w:type="pct"/>
            <w:shd w:val="clear" w:color="auto" w:fill="auto"/>
            <w:vAlign w:val="center"/>
          </w:tcPr>
          <w:p w14:paraId="3CB40CAE">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0.00</w:t>
            </w:r>
          </w:p>
        </w:tc>
        <w:tc>
          <w:tcPr>
            <w:tcW w:w="574" w:type="pct"/>
            <w:shd w:val="clear" w:color="auto" w:fill="auto"/>
            <w:vAlign w:val="center"/>
          </w:tcPr>
          <w:p w14:paraId="689274B0">
            <w:pPr>
              <w:topLinePunct/>
              <w:snapToGrid w:val="0"/>
              <w:spacing w:line="24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5.00</w:t>
            </w:r>
          </w:p>
        </w:tc>
      </w:tr>
    </w:tbl>
    <w:p w14:paraId="22899865">
      <w:pPr>
        <w:pStyle w:val="178"/>
        <w:topLinePunct/>
        <w:rPr>
          <w:rFonts w:ascii="Times New Roman" w:hAnsi="Times New Roman" w:cs="Times New Roman"/>
          <w:color w:val="000000" w:themeColor="text1"/>
        </w:rPr>
      </w:pPr>
      <w:r>
        <w:rPr>
          <w:rFonts w:ascii="Times New Roman" w:hAnsi="Times New Roman" w:cs="Times New Roman"/>
          <w:color w:val="000000" w:themeColor="text1"/>
        </w:rPr>
        <w:t>d.问卷调查结果分析</w:t>
      </w:r>
    </w:p>
    <w:p w14:paraId="3F88B28F">
      <w:pPr>
        <w:pStyle w:val="178"/>
        <w:topLinePunct/>
        <w:rPr>
          <w:rFonts w:ascii="Times New Roman" w:hAnsi="Times New Roman" w:cs="Times New Roman"/>
          <w:color w:val="000000" w:themeColor="text1"/>
        </w:rPr>
      </w:pPr>
      <w:r>
        <w:rPr>
          <w:rFonts w:ascii="Times New Roman" w:hAnsi="Times New Roman" w:cs="Times New Roman"/>
          <w:color w:val="000000" w:themeColor="text1"/>
        </w:rPr>
        <w:t>由数据可知，大多数受调查者认为矿区生态修复对于恢复当地生态环境还是充满信心，但也有少数受调查者有一定程度的担忧，这就更加促使我们必须把矿区生态修复工作一步步落到实处，恢复由于采矿损毁的当地的生态环境。绝大部分受调查者都意识到矿区生态修复的必要性，这对于本矿矿区生态修复工作的开展打下了良好的群众基础。根据当地的生态环境特点，恢复为耕地和林地是主要复垦方向。</w:t>
      </w:r>
    </w:p>
    <w:p w14:paraId="0F5FB1C6">
      <w:pPr>
        <w:pStyle w:val="174"/>
        <w:topLinePunct/>
        <w:rPr>
          <w:rFonts w:ascii="Times New Roman" w:hAnsi="Times New Roman" w:cs="Times New Roman"/>
          <w:color w:val="000000" w:themeColor="text1"/>
          <w:sz w:val="28"/>
          <w:szCs w:val="28"/>
        </w:rPr>
      </w:pPr>
      <w:bookmarkStart w:id="44" w:name="_Toc18128"/>
      <w:r>
        <w:rPr>
          <w:rFonts w:ascii="Times New Roman" w:hAnsi="Times New Roman" w:cs="Times New Roman"/>
          <w:color w:val="000000" w:themeColor="text1"/>
          <w:sz w:val="28"/>
          <w:szCs w:val="28"/>
        </w:rPr>
        <w:t>三、效益分析</w:t>
      </w:r>
      <w:bookmarkEnd w:id="44"/>
    </w:p>
    <w:p w14:paraId="7157E53E">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（一）经济效益分析</w:t>
      </w:r>
    </w:p>
    <w:p w14:paraId="240BFCE0">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矿区生态修复工程的经济效益体现在直接以及间接经济效益两个方面。 其中，直接经济效益是指通过矿区生态修复工程对土地的再利用带来的农业产值。间接经济效益是通过矿区生态修复工程实施而减少的对环境破坏等需要的生态补偿。</w:t>
      </w:r>
    </w:p>
    <w:p w14:paraId="135FCE27">
      <w:pPr>
        <w:pStyle w:val="178"/>
        <w:topLinePunct/>
        <w:rPr>
          <w:rFonts w:ascii="Times New Roman" w:hAnsi="Times New Roman" w:cs="Times New Roman"/>
          <w:color w:val="000000" w:themeColor="text1"/>
        </w:rPr>
      </w:pPr>
      <w:r>
        <w:rPr>
          <w:rFonts w:ascii="Times New Roman" w:hAnsi="Times New Roman" w:cs="Times New Roman"/>
          <w:color w:val="000000" w:themeColor="text1"/>
        </w:rPr>
        <w:t>1、直接经济效益</w:t>
      </w:r>
    </w:p>
    <w:p w14:paraId="7902695D">
      <w:pPr>
        <w:pStyle w:val="178"/>
        <w:topLinePunct/>
        <w:rPr>
          <w:rFonts w:ascii="Times New Roman" w:hAnsi="Times New Roman" w:cs="Times New Roman"/>
          <w:color w:val="000000" w:themeColor="text1"/>
        </w:rPr>
      </w:pPr>
      <w:r>
        <w:rPr>
          <w:rFonts w:ascii="Times New Roman" w:hAnsi="Times New Roman" w:cs="Times New Roman"/>
          <w:color w:val="000000" w:themeColor="text1"/>
        </w:rPr>
        <w:t>本项目最终将复垦为乔木林地</w:t>
      </w:r>
      <w:r>
        <w:rPr>
          <w:rFonts w:hint="eastAsia" w:ascii="Times New Roman" w:hAnsi="Times New Roman" w:cs="Times New Roman"/>
          <w:color w:val="000000" w:themeColor="text1"/>
          <w:lang w:val="en-US" w:eastAsia="zh-CN"/>
        </w:rPr>
        <w:t>12.54</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。乔木林地种植落叶松</w:t>
      </w:r>
      <w:r>
        <w:rPr>
          <w:rFonts w:hint="eastAsia" w:ascii="Times New Roman" w:hAnsi="Times New Roman" w:cs="Times New Roman"/>
          <w:color w:val="000000" w:themeColor="text1"/>
          <w:lang w:eastAsia="zh-CN"/>
        </w:rPr>
        <w:t>31350</w:t>
      </w:r>
      <w:r>
        <w:rPr>
          <w:rFonts w:ascii="Times New Roman" w:hAnsi="Times New Roman" w:cs="Times New Roman"/>
          <w:color w:val="000000" w:themeColor="text1"/>
        </w:rPr>
        <w:t>株。20年后，落叶松按200元/株计算，能给地方增加</w:t>
      </w:r>
      <w:r>
        <w:rPr>
          <w:rFonts w:hint="eastAsia" w:ascii="Times New Roman" w:hAnsi="Times New Roman" w:cs="Times New Roman"/>
          <w:color w:val="000000" w:themeColor="text1"/>
          <w:lang w:val="en-US" w:eastAsia="zh-CN"/>
        </w:rPr>
        <w:t>627</w:t>
      </w:r>
      <w:r>
        <w:rPr>
          <w:rFonts w:ascii="Times New Roman" w:hAnsi="Times New Roman" w:cs="Times New Roman"/>
          <w:color w:val="000000" w:themeColor="text1"/>
        </w:rPr>
        <w:t>万元。</w:t>
      </w:r>
    </w:p>
    <w:p w14:paraId="11C3F301">
      <w:pPr>
        <w:pStyle w:val="178"/>
        <w:topLinePunct/>
        <w:rPr>
          <w:rFonts w:ascii="Times New Roman" w:hAnsi="Times New Roman" w:cs="Times New Roman"/>
          <w:color w:val="000000" w:themeColor="text1"/>
        </w:rPr>
      </w:pPr>
      <w:r>
        <w:rPr>
          <w:rFonts w:ascii="Times New Roman" w:hAnsi="Times New Roman" w:cs="Times New Roman"/>
          <w:color w:val="000000" w:themeColor="text1"/>
        </w:rPr>
        <w:t>2、间接经济效益</w:t>
      </w:r>
    </w:p>
    <w:p w14:paraId="3486D86B">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生态修复结合矿山建设过程中的总量控制与循环经济，通过对矿山疏干水与处理回收废水的利用，一方面减少了复垦生态系统管护费用，一方面减少了企业排污费。同时，矿区生态修复工程的实施对生态重建起到了很大的水土保持效果，减少了项目影响区域的水土流失量，改善了矿山生态环境。在一定程度上补偿了生态破坏造成的影响。</w:t>
      </w:r>
    </w:p>
    <w:p w14:paraId="5A8890B5">
      <w:pPr>
        <w:pStyle w:val="179"/>
        <w:topLinePunct/>
        <w:rPr>
          <w:rFonts w:ascii="Times New Roman" w:hAnsi="Times New Roman" w:cs="Times New Roman"/>
          <w:color w:val="000000" w:themeColor="text1"/>
        </w:rPr>
      </w:pPr>
      <w:r>
        <w:rPr>
          <w:rFonts w:ascii="Times New Roman" w:hAnsi="Times New Roman" w:cs="Times New Roman"/>
          <w:color w:val="000000" w:themeColor="text1"/>
        </w:rPr>
        <w:t>（二）生态效益</w:t>
      </w:r>
    </w:p>
    <w:p w14:paraId="6A821089">
      <w:pPr>
        <w:pStyle w:val="178"/>
        <w:topLinePunct/>
        <w:rPr>
          <w:rFonts w:ascii="Times New Roman" w:hAnsi="Times New Roman" w:cs="Times New Roman"/>
          <w:color w:val="000000" w:themeColor="text1"/>
        </w:rPr>
      </w:pPr>
      <w:r>
        <w:rPr>
          <w:rFonts w:ascii="Times New Roman" w:hAnsi="Times New Roman" w:cs="Times New Roman"/>
          <w:color w:val="000000" w:themeColor="text1"/>
        </w:rPr>
        <w:t>矿区生态修复方案实施后，可以有效地控制工程建设过程中人为造成的矿山地质灾害、水土流失，对改善项目区生态环境条件具有一定的作用。本方案各矿区生态修复工程综合防治措施在设计的基础上通过实施和良好运行将产生明显的防灾、保水保土效益。通过改变微地形、改良土壤理化性质可增加入渗，减轻土壤侵蚀。</w:t>
      </w:r>
    </w:p>
    <w:p w14:paraId="1A9C56CC">
      <w:pPr>
        <w:pStyle w:val="179"/>
        <w:topLinePunct/>
        <w:rPr>
          <w:rFonts w:ascii="Times New Roman" w:hAnsi="Times New Roman" w:cs="Times New Roman"/>
          <w:color w:val="000000" w:themeColor="text1"/>
        </w:rPr>
      </w:pPr>
      <w:r>
        <w:rPr>
          <w:rFonts w:ascii="Times New Roman" w:hAnsi="Times New Roman" w:cs="Times New Roman"/>
          <w:color w:val="000000" w:themeColor="text1"/>
        </w:rPr>
        <w:t>（三）社会效益</w:t>
      </w:r>
    </w:p>
    <w:p w14:paraId="776ADACD">
      <w:pPr>
        <w:pStyle w:val="178"/>
        <w:topLinePunct/>
        <w:rPr>
          <w:rFonts w:ascii="Times New Roman" w:hAnsi="Times New Roman" w:cs="Times New Roman"/>
          <w:color w:val="000000" w:themeColor="text1"/>
        </w:rPr>
      </w:pP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区生态修复工程对破坏土地利用结构进行重新调整，破坏土地重新得到合理的利用，有利于生产条件的改善和经济的可持续发展，对改善人们的生活水平有一定的帮助，可以增加当地村民对矿方的好感，减少村民和矿方发生矛盾的几率，有利于当地的安定团结。所以，矿区生态修复工程不仅对生态环境有着重大意义，而且对项目区的安定团结和稳定发展也起重要作用，它将是保证项目区区域可持续发展的重要组成部分，因而具有重要的社会效益。</w:t>
      </w:r>
    </w:p>
    <w:p w14:paraId="0C51BDFC">
      <w:pPr>
        <w:pStyle w:val="178"/>
        <w:topLinePunct/>
        <w:rPr>
          <w:rFonts w:ascii="Times New Roman" w:hAnsi="Times New Roman" w:cs="Times New Roman"/>
          <w:color w:val="000000" w:themeColor="text1"/>
        </w:rPr>
        <w:sectPr>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r>
        <w:rPr>
          <w:rFonts w:ascii="Times New Roman" w:hAnsi="Times New Roman" w:cs="Times New Roman"/>
          <w:color w:val="000000" w:themeColor="text1"/>
        </w:rPr>
        <w:t>故本矿区生态修复工程方案的实施有利于矿区内经济、生态环境和社会的和谐发展。</w:t>
      </w:r>
    </w:p>
    <w:p w14:paraId="67153A59">
      <w:pPr>
        <w:pStyle w:val="159"/>
        <w:topLinePunct/>
        <w:rPr>
          <w:rFonts w:ascii="Times New Roman" w:hAnsi="Times New Roman" w:cs="Times New Roman"/>
          <w:color w:val="000000" w:themeColor="text1"/>
        </w:rPr>
      </w:pPr>
      <w:bookmarkStart w:id="45" w:name="_Toc18013"/>
      <w:r>
        <w:rPr>
          <w:rFonts w:ascii="Times New Roman" w:hAnsi="Times New Roman" w:cs="Times New Roman"/>
          <w:color w:val="000000" w:themeColor="text1"/>
        </w:rPr>
        <w:t>第八章 结论</w:t>
      </w:r>
      <w:bookmarkEnd w:id="45"/>
    </w:p>
    <w:p w14:paraId="2979F2BE">
      <w:pPr>
        <w:pStyle w:val="174"/>
        <w:topLinePunct/>
        <w:rPr>
          <w:rFonts w:ascii="Times New Roman" w:hAnsi="Times New Roman" w:cs="Times New Roman"/>
          <w:color w:val="000000" w:themeColor="text1"/>
          <w:sz w:val="28"/>
          <w:szCs w:val="28"/>
        </w:rPr>
      </w:pPr>
      <w:bookmarkStart w:id="46" w:name="_Toc23769"/>
      <w:r>
        <w:rPr>
          <w:rFonts w:ascii="Times New Roman" w:hAnsi="Times New Roman" w:cs="Times New Roman"/>
          <w:color w:val="000000" w:themeColor="text1"/>
          <w:sz w:val="28"/>
          <w:szCs w:val="28"/>
        </w:rPr>
        <w:t>一、结论</w:t>
      </w:r>
      <w:bookmarkEnd w:id="46"/>
    </w:p>
    <w:p w14:paraId="6D111C61">
      <w:pPr>
        <w:pStyle w:val="178"/>
        <w:topLinePunct/>
        <w:rPr>
          <w:rFonts w:ascii="Times New Roman" w:hAnsi="Times New Roman" w:cs="Times New Roman"/>
          <w:color w:val="000000" w:themeColor="text1"/>
        </w:rPr>
      </w:pPr>
      <w:r>
        <w:rPr>
          <w:rFonts w:ascii="Times New Roman" w:hAnsi="Times New Roman" w:cs="Times New Roman"/>
          <w:color w:val="000000" w:themeColor="text1"/>
        </w:rPr>
        <w:t>1、</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采矿权人为</w:t>
      </w:r>
      <w:r>
        <w:rPr>
          <w:rFonts w:hint="eastAsia" w:ascii="Times New Roman" w:hAnsi="Times New Roman" w:cs="Times New Roman"/>
          <w:color w:val="000000" w:themeColor="text1"/>
        </w:rPr>
        <w:t>鸡东县永平采石场</w:t>
      </w:r>
      <w:r>
        <w:rPr>
          <w:rFonts w:ascii="Times New Roman" w:hAnsi="Times New Roman" w:cs="Times New Roman"/>
          <w:color w:val="000000" w:themeColor="text1"/>
        </w:rPr>
        <w:t>，矿区面积</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，开采矿种为建筑用玄武岩，矿山生产规模为</w:t>
      </w:r>
      <w:r>
        <w:rPr>
          <w:rFonts w:hint="eastAsia" w:ascii="Times New Roman" w:hAnsi="Times New Roman" w:cs="Times New Roman"/>
          <w:color w:val="000000" w:themeColor="text1"/>
        </w:rPr>
        <w:t>7.00万</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/年，可采出资源储量为1793457</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，开采年限为</w:t>
      </w:r>
      <w:r>
        <w:rPr>
          <w:rFonts w:hint="eastAsia" w:ascii="Times New Roman" w:hAnsi="Times New Roman" w:cs="Times New Roman"/>
          <w:color w:val="000000" w:themeColor="text1"/>
        </w:rPr>
        <w:t>26</w:t>
      </w:r>
      <w:r>
        <w:rPr>
          <w:rFonts w:ascii="Times New Roman" w:hAnsi="Times New Roman" w:cs="Times New Roman"/>
          <w:color w:val="000000" w:themeColor="text1"/>
        </w:rPr>
        <w:t>年，方案服务年限为</w:t>
      </w:r>
      <w:r>
        <w:rPr>
          <w:rFonts w:hint="eastAsia" w:ascii="Times New Roman" w:hAnsi="Times New Roman" w:cs="Times New Roman"/>
          <w:color w:val="000000" w:themeColor="text1"/>
        </w:rPr>
        <w:t>30</w:t>
      </w:r>
      <w:r>
        <w:rPr>
          <w:rFonts w:ascii="Times New Roman" w:hAnsi="Times New Roman" w:cs="Times New Roman"/>
          <w:color w:val="000000" w:themeColor="text1"/>
        </w:rPr>
        <w:t>年。</w:t>
      </w:r>
    </w:p>
    <w:p w14:paraId="17FD0FAB">
      <w:pPr>
        <w:pStyle w:val="178"/>
        <w:topLinePunct/>
        <w:rPr>
          <w:rFonts w:ascii="Times New Roman" w:hAnsi="Times New Roman" w:cs="Times New Roman"/>
          <w:color w:val="000000" w:themeColor="text1"/>
        </w:rPr>
      </w:pPr>
      <w:r>
        <w:rPr>
          <w:rFonts w:ascii="Times New Roman" w:hAnsi="Times New Roman" w:cs="Times New Roman"/>
          <w:color w:val="000000" w:themeColor="text1"/>
        </w:rPr>
        <w:t>2、矿山开采方式为露天开采，矿山开拓生产开拓系统首先进行表土及风化层剥离，自上而下逐层开采。本矿合计损毁土地面积</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，损毁形式为挖损。损毁土地类型为旱地（</w:t>
      </w:r>
      <w:r>
        <w:rPr>
          <w:rFonts w:hint="eastAsia" w:ascii="Times New Roman" w:hAnsi="Times New Roman" w:cs="Times New Roman"/>
          <w:color w:val="000000" w:themeColor="text1"/>
        </w:rPr>
        <w:t>0.20</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）、其他</w:t>
      </w:r>
      <w:r>
        <w:rPr>
          <w:rFonts w:hint="eastAsia" w:ascii="Times New Roman" w:hAnsi="Times New Roman" w:cs="Times New Roman"/>
          <w:color w:val="000000" w:themeColor="text1"/>
        </w:rPr>
        <w:t>草地</w:t>
      </w:r>
      <w:r>
        <w:rPr>
          <w:rFonts w:ascii="Times New Roman" w:hAnsi="Times New Roman" w:cs="Times New Roman"/>
          <w:color w:val="000000" w:themeColor="text1"/>
        </w:rPr>
        <w:t>（</w:t>
      </w:r>
      <w:r>
        <w:rPr>
          <w:rFonts w:hint="eastAsia" w:ascii="Times New Roman" w:hAnsi="Times New Roman" w:cs="Times New Roman"/>
          <w:color w:val="000000" w:themeColor="text1"/>
        </w:rPr>
        <w:t>0.70</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）、采矿用地（</w:t>
      </w:r>
      <w:r>
        <w:rPr>
          <w:rFonts w:hint="eastAsia" w:ascii="Times New Roman" w:hAnsi="Times New Roman" w:cs="Times New Roman"/>
          <w:color w:val="000000" w:themeColor="text1"/>
        </w:rPr>
        <w:t>15.09</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w:t>
      </w:r>
    </w:p>
    <w:p w14:paraId="04B2B57E">
      <w:pPr>
        <w:pStyle w:val="178"/>
        <w:topLinePunct/>
        <w:rPr>
          <w:rFonts w:ascii="Times New Roman" w:hAnsi="Times New Roman" w:cs="Times New Roman"/>
          <w:color w:val="000000" w:themeColor="text1"/>
        </w:rPr>
      </w:pPr>
      <w:r>
        <w:rPr>
          <w:rFonts w:ascii="Times New Roman" w:hAnsi="Times New Roman" w:cs="Times New Roman"/>
          <w:color w:val="000000" w:themeColor="text1"/>
        </w:rPr>
        <w:t>3、矿山生产建设规模为中型，矿山地质环境条件复杂程度划分为中等，评估区的重要程度划分为重要区，因此将本次的评估级别确定为一级。评估区面积</w:t>
      </w:r>
      <w:r>
        <w:rPr>
          <w:rFonts w:hint="eastAsia" w:ascii="Times New Roman" w:hAnsi="Times New Roman" w:cs="Times New Roman"/>
          <w:color w:val="000000" w:themeColor="text1"/>
        </w:rPr>
        <w:t>19.77h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。本项目矿山地质环境保护与恢复治理分区结果为一般防治区和次重点防治区。矿山地质环境次重点防治区：主要分布在矿山已损毁区和拟损毁区，包括露天采场（</w:t>
      </w:r>
      <w:r>
        <w:rPr>
          <w:rFonts w:hint="eastAsia" w:ascii="Times New Roman" w:hAnsi="Times New Roman" w:cs="Times New Roman"/>
          <w:color w:val="000000" w:themeColor="text1"/>
        </w:rPr>
        <w:t>15.63</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）、排土场（0.</w:t>
      </w:r>
      <w:r>
        <w:rPr>
          <w:rFonts w:hint="eastAsia" w:ascii="Times New Roman" w:hAnsi="Times New Roman" w:cs="Times New Roman"/>
          <w:color w:val="000000" w:themeColor="text1"/>
        </w:rPr>
        <w:t>36</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），面积为</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区内潜在崩塌、水土侵蚀危害程度轻，其危险性小；冻土冻融地质灾害弱发育，危害程度轻，危险性小；矿山开采对含水层影响较轻；对地形地貌景观的影响较严重。矿山地质环境影响预测评估结果较严重，确定该区为重点防治区。矿山地质环境一般防治区：主要为除已损毁区和拟损毁区以外范围，面积为</w:t>
      </w:r>
      <w:r>
        <w:rPr>
          <w:rFonts w:hint="eastAsia" w:ascii="Times New Roman" w:hAnsi="Times New Roman" w:cs="Times New Roman"/>
          <w:color w:val="000000" w:themeColor="text1"/>
        </w:rPr>
        <w:t>3.78</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潜在崩塌、水土侵蚀危害程度轻，危险性小；冻土冻融地质灾害弱发育，危害程度轻，危险性小；区内没进行采矿活动，对含水层、地形地貌景观影响较轻。矿山地质环境影响预测评估结果轻，确定该区为一般防治区。</w:t>
      </w:r>
    </w:p>
    <w:p w14:paraId="2247FB3B">
      <w:pPr>
        <w:pStyle w:val="178"/>
        <w:topLinePunct/>
        <w:rPr>
          <w:rFonts w:ascii="Times New Roman" w:hAnsi="Times New Roman" w:cs="Times New Roman"/>
          <w:color w:val="000000" w:themeColor="text1"/>
        </w:rPr>
      </w:pPr>
      <w:r>
        <w:rPr>
          <w:rFonts w:ascii="Times New Roman" w:hAnsi="Times New Roman" w:cs="Times New Roman"/>
          <w:color w:val="000000" w:themeColor="text1"/>
        </w:rPr>
        <w:t>4、本次复垦修复土地面积</w:t>
      </w:r>
      <w:r>
        <w:rPr>
          <w:rFonts w:hint="eastAsia" w:ascii="Times New Roman" w:hAnsi="Times New Roman" w:cs="Times New Roman"/>
          <w:color w:val="000000" w:themeColor="text1"/>
        </w:rPr>
        <w:t>15.99h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（矿区面积），露天采场底部合围区复垦为乔木林地</w:t>
      </w:r>
      <w:r>
        <w:rPr>
          <w:rFonts w:hint="eastAsia" w:ascii="Times New Roman" w:hAnsi="Times New Roman" w:cs="Times New Roman"/>
          <w:color w:val="000000" w:themeColor="text1"/>
        </w:rPr>
        <w:t>12.</w:t>
      </w:r>
      <w:r>
        <w:rPr>
          <w:rFonts w:hint="eastAsia" w:ascii="Times New Roman" w:hAnsi="Times New Roman" w:cs="Times New Roman"/>
          <w:color w:val="000000" w:themeColor="text1"/>
          <w:lang w:val="en-US" w:eastAsia="zh-CN"/>
        </w:rPr>
        <w:t>5</w:t>
      </w:r>
      <w:r>
        <w:rPr>
          <w:rFonts w:hint="eastAsia" w:ascii="Times New Roman" w:hAnsi="Times New Roman" w:cs="Times New Roman"/>
          <w:color w:val="000000" w:themeColor="text1"/>
        </w:rPr>
        <w:t>4</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、露天采场开采边坡投影面积（</w:t>
      </w:r>
      <w:r>
        <w:rPr>
          <w:rFonts w:hint="eastAsia" w:ascii="Times New Roman" w:hAnsi="Times New Roman" w:cs="Times New Roman"/>
          <w:color w:val="000000" w:themeColor="text1"/>
        </w:rPr>
        <w:t>3.45h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）无法复垦为耕地、林地和草地，开采边坡坡底栽植常春藤保护边坡。</w:t>
      </w:r>
    </w:p>
    <w:p w14:paraId="17D4C9B1">
      <w:pPr>
        <w:pStyle w:val="178"/>
        <w:topLinePunct/>
        <w:rPr>
          <w:rFonts w:ascii="Times New Roman" w:hAnsi="Times New Roman" w:cs="Times New Roman"/>
          <w:color w:val="000000" w:themeColor="text1"/>
        </w:rPr>
      </w:pPr>
      <w:r>
        <w:rPr>
          <w:rFonts w:ascii="Times New Roman" w:hAnsi="Times New Roman" w:cs="Times New Roman"/>
          <w:color w:val="000000" w:themeColor="text1"/>
        </w:rPr>
        <w:t>5、生态修复工程主要治理对象为露天采场、排土场，主要措施为表土剥离、表土管护、排土场石笼挡墙土、露天采场地面清理平整、表土</w:t>
      </w:r>
      <w:r>
        <w:rPr>
          <w:rFonts w:hint="eastAsia" w:ascii="Times New Roman" w:hAnsi="Times New Roman" w:cs="Times New Roman"/>
          <w:color w:val="000000" w:themeColor="text1"/>
          <w:lang w:val="en-US" w:eastAsia="zh-CN"/>
        </w:rPr>
        <w:t>回覆</w:t>
      </w:r>
      <w:r>
        <w:rPr>
          <w:rFonts w:ascii="Times New Roman" w:hAnsi="Times New Roman" w:cs="Times New Roman"/>
          <w:color w:val="000000" w:themeColor="text1"/>
        </w:rPr>
        <w:t>、栽植乔木、栽植常春藤等工程。矿山地质环境监测主要为地质灾害监测、地表水监测、地形地貌景观监测；土壤质量监测、复垦效果监测。</w:t>
      </w:r>
    </w:p>
    <w:p w14:paraId="227A84DE">
      <w:pPr>
        <w:pStyle w:val="178"/>
        <w:topLinePunct/>
        <w:rPr>
          <w:rFonts w:ascii="Times New Roman" w:hAnsi="Times New Roman" w:cs="Times New Roman"/>
          <w:color w:val="000000" w:themeColor="text1"/>
        </w:rPr>
      </w:pPr>
      <w:r>
        <w:rPr>
          <w:rFonts w:ascii="Times New Roman" w:hAnsi="Times New Roman" w:cs="Times New Roman"/>
          <w:color w:val="000000" w:themeColor="text1"/>
        </w:rPr>
        <w:t>（1）表土剥离与植被移植利用：表土剥离</w:t>
      </w:r>
      <w:r>
        <w:rPr>
          <w:rFonts w:hint="eastAsia" w:ascii="Times New Roman" w:hAnsi="Times New Roman" w:cs="Times New Roman"/>
          <w:color w:val="000000" w:themeColor="text1"/>
        </w:rPr>
        <w:t>2700</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、撒播种草0.</w:t>
      </w:r>
      <w:r>
        <w:rPr>
          <w:rFonts w:hint="eastAsia" w:ascii="Times New Roman" w:hAnsi="Times New Roman" w:cs="Times New Roman"/>
          <w:color w:val="000000" w:themeColor="text1"/>
        </w:rPr>
        <w:t>13</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、石笼挡墙土方开挖</w:t>
      </w:r>
      <w:r>
        <w:rPr>
          <w:rFonts w:hint="eastAsia" w:ascii="Times New Roman" w:hAnsi="Times New Roman" w:cs="Times New Roman"/>
          <w:color w:val="000000" w:themeColor="text1"/>
        </w:rPr>
        <w:t>105</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、石笼挡墙体积</w:t>
      </w:r>
      <w:r>
        <w:rPr>
          <w:rFonts w:hint="eastAsia" w:ascii="Times New Roman" w:hAnsi="Times New Roman" w:cs="Times New Roman"/>
          <w:color w:val="000000" w:themeColor="text1"/>
        </w:rPr>
        <w:t>455</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w:t>
      </w:r>
    </w:p>
    <w:p w14:paraId="5AC0F0F3">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（2）地貌重塑工程：排土场拆除石笼挡墙</w:t>
      </w:r>
      <w:r>
        <w:rPr>
          <w:rFonts w:hint="eastAsia" w:ascii="Times New Roman" w:hAnsi="Times New Roman" w:cs="Times New Roman"/>
          <w:color w:val="000000" w:themeColor="text1"/>
        </w:rPr>
        <w:t>455</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、排土场运输拆除石笼</w:t>
      </w:r>
      <w:r>
        <w:rPr>
          <w:rFonts w:hint="eastAsia" w:ascii="Times New Roman" w:hAnsi="Times New Roman" w:cs="Times New Roman"/>
          <w:color w:val="000000" w:themeColor="text1"/>
        </w:rPr>
        <w:t>455</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、露天采场地面清理平整</w:t>
      </w:r>
      <w:r>
        <w:rPr>
          <w:rFonts w:hint="eastAsia" w:ascii="Times New Roman" w:hAnsi="Times New Roman" w:cs="Times New Roman"/>
          <w:color w:val="000000" w:themeColor="text1"/>
        </w:rPr>
        <w:t>12540</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w:t>
      </w:r>
    </w:p>
    <w:p w14:paraId="66388FA7">
      <w:pPr>
        <w:pStyle w:val="178"/>
        <w:topLinePunct/>
        <w:rPr>
          <w:rFonts w:ascii="Times New Roman" w:hAnsi="Times New Roman" w:cs="Times New Roman"/>
          <w:color w:val="000000" w:themeColor="text1"/>
        </w:rPr>
      </w:pPr>
      <w:r>
        <w:rPr>
          <w:rFonts w:ascii="Times New Roman" w:hAnsi="Times New Roman" w:cs="Times New Roman"/>
          <w:color w:val="000000" w:themeColor="text1"/>
        </w:rPr>
        <w:t>（3）土壤重构工程：表土</w:t>
      </w:r>
      <w:r>
        <w:rPr>
          <w:rFonts w:hint="eastAsia" w:ascii="Times New Roman" w:hAnsi="Times New Roman" w:cs="Times New Roman"/>
          <w:color w:val="000000" w:themeColor="text1"/>
          <w:lang w:val="en-US" w:eastAsia="zh-CN"/>
        </w:rPr>
        <w:t>运输回覆27</w:t>
      </w:r>
      <w:r>
        <w:rPr>
          <w:rFonts w:hint="eastAsia" w:ascii="Times New Roman" w:hAnsi="Times New Roman" w:cs="Times New Roman"/>
          <w:color w:val="000000" w:themeColor="text1"/>
        </w:rPr>
        <w:t>00</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w:t>
      </w:r>
    </w:p>
    <w:p w14:paraId="79C3D770">
      <w:pPr>
        <w:pStyle w:val="178"/>
        <w:topLinePunct/>
        <w:rPr>
          <w:rFonts w:ascii="Times New Roman" w:hAnsi="Times New Roman" w:cs="Times New Roman"/>
          <w:color w:val="000000" w:themeColor="text1"/>
        </w:rPr>
      </w:pPr>
      <w:r>
        <w:rPr>
          <w:rFonts w:ascii="Times New Roman" w:hAnsi="Times New Roman" w:cs="Times New Roman"/>
          <w:color w:val="000000" w:themeColor="text1"/>
        </w:rPr>
        <w:t>（4）植被重建工程：栽植乔木</w:t>
      </w:r>
      <w:r>
        <w:rPr>
          <w:rFonts w:hint="eastAsia" w:ascii="Times New Roman" w:hAnsi="Times New Roman" w:cs="Times New Roman"/>
          <w:color w:val="000000" w:themeColor="text1"/>
          <w:lang w:eastAsia="zh-CN"/>
        </w:rPr>
        <w:t>31350</w:t>
      </w:r>
      <w:r>
        <w:rPr>
          <w:rFonts w:ascii="Times New Roman" w:hAnsi="Times New Roman" w:cs="Times New Roman"/>
          <w:color w:val="000000" w:themeColor="text1"/>
        </w:rPr>
        <w:t>株、栽植常春藤</w:t>
      </w:r>
      <w:r>
        <w:rPr>
          <w:rFonts w:ascii="Times New Roman" w:hAnsi="Times New Roman" w:cs="Times New Roman"/>
          <w:color w:val="000000" w:themeColor="text1"/>
        </w:rPr>
        <w:tab/>
      </w:r>
      <w:r>
        <w:rPr>
          <w:rFonts w:hint="eastAsia" w:ascii="Times New Roman" w:hAnsi="Times New Roman" w:cs="Times New Roman"/>
          <w:color w:val="000000" w:themeColor="text1"/>
          <w:lang w:val="en-US" w:eastAsia="zh-CN"/>
        </w:rPr>
        <w:t>52</w:t>
      </w:r>
      <w:r>
        <w:rPr>
          <w:rFonts w:hint="eastAsia" w:ascii="Times New Roman" w:hAnsi="Times New Roman" w:cs="Times New Roman"/>
          <w:color w:val="000000" w:themeColor="text1"/>
        </w:rPr>
        <w:t>00</w:t>
      </w:r>
      <w:r>
        <w:rPr>
          <w:rFonts w:ascii="Times New Roman" w:hAnsi="Times New Roman" w:cs="Times New Roman"/>
          <w:color w:val="000000" w:themeColor="text1"/>
        </w:rPr>
        <w:t>株。</w:t>
      </w:r>
    </w:p>
    <w:p w14:paraId="7B2B51CE">
      <w:pPr>
        <w:pStyle w:val="178"/>
        <w:topLinePunct/>
        <w:rPr>
          <w:rFonts w:ascii="Times New Roman" w:hAnsi="Times New Roman" w:cs="Times New Roman"/>
          <w:color w:val="000000" w:themeColor="text1"/>
        </w:rPr>
      </w:pPr>
      <w:r>
        <w:rPr>
          <w:rFonts w:ascii="Times New Roman" w:hAnsi="Times New Roman" w:cs="Times New Roman"/>
          <w:color w:val="000000" w:themeColor="text1"/>
        </w:rPr>
        <w:t>（5）景观营建工程：警示牌13个、开挖汇水渠</w:t>
      </w:r>
      <w:r>
        <w:rPr>
          <w:rFonts w:hint="eastAsia" w:ascii="Times New Roman" w:hAnsi="Times New Roman" w:cs="Times New Roman"/>
          <w:color w:val="000000" w:themeColor="text1"/>
        </w:rPr>
        <w:t>900</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3</w:t>
      </w:r>
      <w:r>
        <w:rPr>
          <w:rFonts w:ascii="Times New Roman" w:hAnsi="Times New Roman" w:cs="Times New Roman"/>
          <w:color w:val="000000" w:themeColor="text1"/>
        </w:rPr>
        <w:t>。</w:t>
      </w:r>
      <w:r>
        <w:rPr>
          <w:rFonts w:ascii="Times New Roman" w:hAnsi="Times New Roman" w:cs="Times New Roman"/>
          <w:color w:val="000000" w:themeColor="text1"/>
        </w:rPr>
        <w:tab/>
      </w:r>
    </w:p>
    <w:p w14:paraId="25F519B1">
      <w:pPr>
        <w:pStyle w:val="178"/>
        <w:topLinePunct/>
        <w:rPr>
          <w:rFonts w:ascii="Times New Roman" w:hAnsi="Times New Roman" w:cs="Times New Roman"/>
          <w:color w:val="000000" w:themeColor="text1"/>
        </w:rPr>
      </w:pPr>
      <w:r>
        <w:rPr>
          <w:rFonts w:ascii="Times New Roman" w:hAnsi="Times New Roman" w:cs="Times New Roman"/>
          <w:color w:val="000000" w:themeColor="text1"/>
        </w:rPr>
        <w:t>（6）监测与管护：地质灾害监测</w:t>
      </w:r>
      <w:r>
        <w:rPr>
          <w:rFonts w:hint="eastAsia" w:ascii="Times New Roman" w:hAnsi="Times New Roman" w:cs="Times New Roman"/>
          <w:color w:val="000000" w:themeColor="text1"/>
        </w:rPr>
        <w:t>1248</w:t>
      </w:r>
      <w:r>
        <w:rPr>
          <w:rFonts w:ascii="Times New Roman" w:hAnsi="Times New Roman" w:cs="Times New Roman"/>
          <w:color w:val="000000" w:themeColor="text1"/>
        </w:rPr>
        <w:t>次、地表水监测</w:t>
      </w:r>
      <w:r>
        <w:rPr>
          <w:rFonts w:hint="eastAsia" w:ascii="Times New Roman" w:hAnsi="Times New Roman" w:cs="Times New Roman"/>
          <w:color w:val="000000" w:themeColor="text1"/>
        </w:rPr>
        <w:t>416</w:t>
      </w:r>
      <w:r>
        <w:rPr>
          <w:rFonts w:ascii="Times New Roman" w:hAnsi="Times New Roman" w:cs="Times New Roman"/>
          <w:color w:val="000000" w:themeColor="text1"/>
        </w:rPr>
        <w:t>次、地形地貌景观监测</w:t>
      </w:r>
      <w:r>
        <w:rPr>
          <w:rFonts w:hint="eastAsia" w:ascii="Times New Roman" w:hAnsi="Times New Roman" w:cs="Times New Roman"/>
          <w:color w:val="000000" w:themeColor="text1"/>
        </w:rPr>
        <w:t>104</w:t>
      </w:r>
      <w:r>
        <w:rPr>
          <w:rFonts w:ascii="Times New Roman" w:hAnsi="Times New Roman" w:cs="Times New Roman"/>
          <w:color w:val="000000" w:themeColor="text1"/>
        </w:rPr>
        <w:t>次、土壤质量监测12次、复垦效果监测12次；管护</w:t>
      </w:r>
      <w:r>
        <w:rPr>
          <w:rFonts w:hint="eastAsia" w:ascii="Times New Roman" w:hAnsi="Times New Roman" w:cs="Times New Roman"/>
          <w:color w:val="000000" w:themeColor="text1"/>
        </w:rPr>
        <w:t>12.54</w:t>
      </w:r>
      <w:r>
        <w:rPr>
          <w:rFonts w:ascii="Times New Roman" w:hAnsi="Times New Roman" w:cs="Times New Roman"/>
          <w:color w:val="000000" w:themeColor="text1"/>
        </w:rPr>
        <w:t>h</w:t>
      </w:r>
      <w:r>
        <w:rPr>
          <w:rFonts w:hint="eastAsia" w:ascii="Times New Roman" w:hAnsi="Times New Roman" w:cs="Times New Roman"/>
          <w:color w:val="000000" w:themeColor="text1"/>
          <w:lang w:eastAsia="zh-CN"/>
        </w:rPr>
        <w:t>m</w:t>
      </w:r>
      <w:r>
        <w:rPr>
          <w:rFonts w:hint="eastAsia" w:ascii="Times New Roman" w:hAnsi="Times New Roman" w:cs="Times New Roman"/>
          <w:strike w:val="0"/>
          <w:dstrike w:val="0"/>
          <w:color w:val="000000" w:themeColor="text1"/>
          <w:vertAlign w:val="superscript"/>
          <w:lang w:eastAsia="zh-CN"/>
        </w:rPr>
        <w:t>2</w:t>
      </w:r>
      <w:r>
        <w:rPr>
          <w:rFonts w:ascii="Times New Roman" w:hAnsi="Times New Roman" w:cs="Times New Roman"/>
          <w:color w:val="000000" w:themeColor="text1"/>
        </w:rPr>
        <w:t>，管护3年。</w:t>
      </w:r>
    </w:p>
    <w:p w14:paraId="382B303F">
      <w:pPr>
        <w:pStyle w:val="178"/>
        <w:topLinePunct/>
        <w:rPr>
          <w:rFonts w:ascii="Times New Roman" w:hAnsi="Times New Roman" w:cs="Times New Roman"/>
          <w:color w:val="000000" w:themeColor="text1"/>
        </w:rPr>
      </w:pPr>
      <w:r>
        <w:rPr>
          <w:rFonts w:ascii="Times New Roman" w:hAnsi="Times New Roman" w:cs="Times New Roman"/>
          <w:color w:val="000000" w:themeColor="text1"/>
        </w:rPr>
        <w:t>6、</w:t>
      </w:r>
      <w:r>
        <w:rPr>
          <w:rFonts w:ascii="Times New Roman" w:hAnsi="Times New Roman" w:cs="Times New Roman"/>
          <w:color w:val="E36C09" w:themeColor="accent6" w:themeShade="BF"/>
          <w:spacing w:val="2"/>
        </w:rPr>
        <w:t>通过投资预算，本项目生态修复总投资</w:t>
      </w:r>
      <w:r>
        <w:rPr>
          <w:rFonts w:hint="eastAsia" w:ascii="Times New Roman" w:hAnsi="Times New Roman" w:cs="Times New Roman"/>
          <w:color w:val="E36C09" w:themeColor="accent6" w:themeShade="BF"/>
          <w:spacing w:val="2"/>
          <w:lang w:val="en-US" w:eastAsia="zh-CN"/>
        </w:rPr>
        <w:t>103.79</w:t>
      </w:r>
      <w:r>
        <w:rPr>
          <w:rFonts w:ascii="Times New Roman" w:hAnsi="Times New Roman" w:cs="Times New Roman"/>
          <w:color w:val="E36C09" w:themeColor="accent6" w:themeShade="BF"/>
          <w:spacing w:val="2"/>
        </w:rPr>
        <w:t>万元，其中，工程施工费</w:t>
      </w:r>
      <w:r>
        <w:rPr>
          <w:rFonts w:hint="eastAsia" w:ascii="Times New Roman" w:hAnsi="Times New Roman" w:cs="Times New Roman"/>
          <w:color w:val="E36C09" w:themeColor="accent6" w:themeShade="BF"/>
          <w:spacing w:val="2"/>
          <w:lang w:val="en-US" w:eastAsia="zh-CN"/>
        </w:rPr>
        <w:t>60.10</w:t>
      </w:r>
      <w:r>
        <w:rPr>
          <w:rFonts w:ascii="Times New Roman" w:hAnsi="Times New Roman" w:cs="Times New Roman"/>
          <w:color w:val="E36C09" w:themeColor="accent6" w:themeShade="BF"/>
          <w:spacing w:val="2"/>
        </w:rPr>
        <w:t>万元，其他费用</w:t>
      </w:r>
      <w:r>
        <w:rPr>
          <w:rFonts w:hint="eastAsia" w:ascii="Times New Roman" w:hAnsi="Times New Roman" w:cs="Times New Roman"/>
          <w:color w:val="E36C09" w:themeColor="accent6" w:themeShade="BF"/>
          <w:spacing w:val="2"/>
          <w:lang w:val="en-US" w:eastAsia="zh-CN"/>
        </w:rPr>
        <w:t>7.85</w:t>
      </w:r>
      <w:r>
        <w:rPr>
          <w:rFonts w:ascii="Times New Roman" w:hAnsi="Times New Roman" w:cs="Times New Roman"/>
          <w:color w:val="E36C09" w:themeColor="accent6" w:themeShade="BF"/>
          <w:spacing w:val="2"/>
        </w:rPr>
        <w:t>万元，监测与管护费</w:t>
      </w:r>
      <w:r>
        <w:rPr>
          <w:rFonts w:hint="eastAsia" w:ascii="Times New Roman" w:hAnsi="Times New Roman" w:cs="Times New Roman"/>
          <w:color w:val="E36C09" w:themeColor="accent6" w:themeShade="BF"/>
          <w:spacing w:val="2"/>
          <w:lang w:val="en-US" w:eastAsia="zh-CN"/>
        </w:rPr>
        <w:t>27.00</w:t>
      </w:r>
      <w:r>
        <w:rPr>
          <w:rFonts w:ascii="Times New Roman" w:hAnsi="Times New Roman" w:cs="Times New Roman"/>
          <w:color w:val="E36C09" w:themeColor="accent6" w:themeShade="BF"/>
          <w:spacing w:val="2"/>
        </w:rPr>
        <w:t>万元，预备费</w:t>
      </w:r>
      <w:r>
        <w:rPr>
          <w:rFonts w:hint="eastAsia" w:ascii="Times New Roman" w:hAnsi="Times New Roman" w:cs="Times New Roman"/>
          <w:color w:val="E36C09" w:themeColor="accent6" w:themeShade="BF"/>
          <w:spacing w:val="2"/>
          <w:lang w:val="en-US" w:eastAsia="zh-CN"/>
        </w:rPr>
        <w:t>8.84</w:t>
      </w:r>
      <w:r>
        <w:rPr>
          <w:rFonts w:ascii="Times New Roman" w:hAnsi="Times New Roman" w:cs="Times New Roman"/>
          <w:color w:val="E36C09" w:themeColor="accent6" w:themeShade="BF"/>
          <w:spacing w:val="2"/>
        </w:rPr>
        <w:t>万元</w:t>
      </w:r>
      <w:r>
        <w:rPr>
          <w:rFonts w:ascii="Times New Roman" w:hAnsi="Times New Roman" w:cs="Times New Roman"/>
          <w:color w:val="000000" w:themeColor="text1"/>
        </w:rPr>
        <w:t>。</w:t>
      </w:r>
    </w:p>
    <w:p w14:paraId="60F6EF30">
      <w:pPr>
        <w:pStyle w:val="174"/>
        <w:topLinePunct/>
        <w:rPr>
          <w:rFonts w:ascii="Times New Roman" w:hAnsi="Times New Roman" w:cs="Times New Roman"/>
          <w:color w:val="000000" w:themeColor="text1"/>
          <w:sz w:val="28"/>
          <w:szCs w:val="28"/>
        </w:rPr>
      </w:pPr>
      <w:bookmarkStart w:id="47" w:name="_Toc32489"/>
      <w:r>
        <w:rPr>
          <w:rFonts w:ascii="Times New Roman" w:hAnsi="Times New Roman" w:cs="Times New Roman"/>
          <w:color w:val="000000" w:themeColor="text1"/>
          <w:sz w:val="28"/>
          <w:szCs w:val="28"/>
        </w:rPr>
        <w:t>二、建议</w:t>
      </w:r>
      <w:bookmarkEnd w:id="47"/>
    </w:p>
    <w:p w14:paraId="14FF6EA7">
      <w:pPr>
        <w:pStyle w:val="178"/>
        <w:topLinePunct/>
        <w:rPr>
          <w:rFonts w:ascii="Times New Roman" w:hAnsi="Times New Roman" w:cs="Times New Roman"/>
          <w:color w:val="000000" w:themeColor="text1"/>
        </w:rPr>
      </w:pPr>
      <w:r>
        <w:rPr>
          <w:rFonts w:ascii="Times New Roman" w:hAnsi="Times New Roman" w:cs="Times New Roman"/>
          <w:color w:val="000000" w:themeColor="text1"/>
        </w:rPr>
        <w:t>1、在矿区生态修复矿山实施过程中，应注意周边生态环境的保护，避免人为的扰动造成新的破坏。</w:t>
      </w:r>
    </w:p>
    <w:p w14:paraId="4F0C8FFF">
      <w:pPr>
        <w:pStyle w:val="178"/>
        <w:topLinePunct/>
        <w:rPr>
          <w:rFonts w:ascii="Times New Roman" w:hAnsi="Times New Roman" w:cs="Times New Roman"/>
          <w:color w:val="000000" w:themeColor="text1"/>
        </w:rPr>
      </w:pPr>
      <w:r>
        <w:rPr>
          <w:rFonts w:ascii="Times New Roman" w:hAnsi="Times New Roman" w:cs="Times New Roman"/>
          <w:color w:val="000000" w:themeColor="text1"/>
        </w:rPr>
        <w:t>2、开采和治理期间应加强巡视，发现异常，及时处理。</w:t>
      </w:r>
    </w:p>
    <w:p w14:paraId="7D18BA3B">
      <w:pPr>
        <w:pStyle w:val="178"/>
        <w:topLinePunct/>
        <w:rPr>
          <w:rFonts w:ascii="Times New Roman" w:hAnsi="Times New Roman" w:cs="Times New Roman"/>
          <w:color w:val="000000" w:themeColor="text1"/>
        </w:rPr>
      </w:pPr>
      <w:r>
        <w:rPr>
          <w:rFonts w:ascii="Times New Roman" w:hAnsi="Times New Roman" w:cs="Times New Roman"/>
          <w:color w:val="000000" w:themeColor="text1"/>
        </w:rPr>
        <w:t>3、矿山应积极响应“边开采、边治理”的原则，对于矿山建设场地已达最终状态的区域及时治理、恢复植被。矿山生产期加强对项目区损毁土地（矿山道路等区域）进行绿化、美化及净化的生态环境工程治理。</w:t>
      </w:r>
    </w:p>
    <w:p w14:paraId="607412C0">
      <w:pPr>
        <w:pStyle w:val="178"/>
        <w:topLinePunct/>
        <w:rPr>
          <w:rFonts w:ascii="Times New Roman" w:hAnsi="Times New Roman" w:cs="Times New Roman"/>
          <w:color w:val="000000" w:themeColor="text1"/>
        </w:rPr>
      </w:pPr>
      <w:r>
        <w:rPr>
          <w:rFonts w:ascii="Times New Roman" w:hAnsi="Times New Roman" w:cs="Times New Roman"/>
          <w:color w:val="000000" w:themeColor="text1"/>
        </w:rPr>
        <w:t>4、根据具体开采情况，应适时地对本方案进行修改，调整矿区生态修复实施工作。</w:t>
      </w:r>
    </w:p>
    <w:p w14:paraId="24997F8C">
      <w:pPr>
        <w:pStyle w:val="178"/>
        <w:topLinePunct/>
        <w:rPr>
          <w:rFonts w:ascii="Times New Roman" w:hAnsi="Times New Roman" w:cs="Times New Roman"/>
          <w:color w:val="000000" w:themeColor="text1"/>
        </w:rPr>
      </w:pPr>
      <w:r>
        <w:rPr>
          <w:rFonts w:ascii="Times New Roman" w:hAnsi="Times New Roman" w:cs="Times New Roman"/>
          <w:color w:val="000000" w:themeColor="text1"/>
        </w:rPr>
        <w:t>5、应加强维护管理，尤其是矿山闭坑后露天采场排水问题，应派专人负责，同时对采坑尽可能的使用废土石进行回填，确保复垦工程发挥长期效益。</w:t>
      </w:r>
    </w:p>
    <w:p w14:paraId="1A4DBB3A">
      <w:pPr>
        <w:pStyle w:val="178"/>
        <w:topLinePunct/>
        <w:rPr>
          <w:rFonts w:ascii="Times New Roman" w:hAnsi="Times New Roman" w:cs="Times New Roman"/>
          <w:color w:val="000000" w:themeColor="text1"/>
        </w:rPr>
      </w:pPr>
    </w:p>
    <w:sectPr>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Arial Unicode MS">
    <w:panose1 w:val="020B0604020202020204"/>
    <w:charset w:val="86"/>
    <w:family w:val="swiss"/>
    <w:pitch w:val="default"/>
    <w:sig w:usb0="FFFFFFFF" w:usb1="E9FFFFFF" w:usb2="0000003F" w:usb3="00000000" w:csb0="603F01FF" w:csb1="FFFF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5BE76">
    <w:pPr>
      <w:pStyle w:val="26"/>
      <w:spacing w:before="120"/>
      <w:jc w:val="right"/>
    </w:pPr>
  </w:p>
  <w:p w14:paraId="7C329ABC">
    <w:pPr>
      <w:pStyle w:val="2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u w:val="single"/>
      </w:rPr>
      <w:id w:val="6004929"/>
    </w:sdtPr>
    <w:sdtEndPr>
      <w:rPr>
        <w:u w:val="single"/>
      </w:rPr>
    </w:sdtEndPr>
    <w:sdtContent>
      <w:p w14:paraId="493A4DC3">
        <w:pPr>
          <w:pStyle w:val="26"/>
          <w:spacing w:before="120"/>
          <w:jc w:val="right"/>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18</w:t>
        </w:r>
        <w:r>
          <w:rPr>
            <w:rFonts w:ascii="Times New Roman" w:hAnsi="Times New Roman" w:cs="Times New Roman"/>
          </w:rPr>
          <w:fldChar w:fldCharType="end"/>
        </w:r>
      </w:p>
    </w:sdtContent>
  </w:sdt>
  <w:p w14:paraId="526DBF82">
    <w:pPr>
      <w:pStyle w:val="2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8FA1096"/>
    <w:multiLevelType w:val="singleLevel"/>
    <w:tmpl w:val="18FA1096"/>
    <w:lvl w:ilvl="0" w:tentative="0">
      <w:start w:val="6"/>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2"/>
  </w:compat>
  <w:rsids>
    <w:rsidRoot w:val="00172A27"/>
    <w:rsid w:val="00000672"/>
    <w:rsid w:val="0000322F"/>
    <w:rsid w:val="0000725F"/>
    <w:rsid w:val="00021576"/>
    <w:rsid w:val="00023562"/>
    <w:rsid w:val="00035440"/>
    <w:rsid w:val="00035B9F"/>
    <w:rsid w:val="000408AF"/>
    <w:rsid w:val="00041EC5"/>
    <w:rsid w:val="00043676"/>
    <w:rsid w:val="00047F0B"/>
    <w:rsid w:val="000504C6"/>
    <w:rsid w:val="0005116E"/>
    <w:rsid w:val="00055757"/>
    <w:rsid w:val="000647FC"/>
    <w:rsid w:val="00067598"/>
    <w:rsid w:val="00067DF3"/>
    <w:rsid w:val="00072050"/>
    <w:rsid w:val="00075D20"/>
    <w:rsid w:val="00077E7F"/>
    <w:rsid w:val="0008345A"/>
    <w:rsid w:val="00083783"/>
    <w:rsid w:val="00083FBC"/>
    <w:rsid w:val="000846CE"/>
    <w:rsid w:val="000848A9"/>
    <w:rsid w:val="00086A83"/>
    <w:rsid w:val="00087ECB"/>
    <w:rsid w:val="000A38F4"/>
    <w:rsid w:val="000A3F75"/>
    <w:rsid w:val="000B0165"/>
    <w:rsid w:val="000C25ED"/>
    <w:rsid w:val="000C27CB"/>
    <w:rsid w:val="000D31F2"/>
    <w:rsid w:val="000E25DE"/>
    <w:rsid w:val="000E609C"/>
    <w:rsid w:val="000E7F8C"/>
    <w:rsid w:val="000F74FA"/>
    <w:rsid w:val="00102AC2"/>
    <w:rsid w:val="0010474B"/>
    <w:rsid w:val="001066F9"/>
    <w:rsid w:val="0011099C"/>
    <w:rsid w:val="001115A5"/>
    <w:rsid w:val="00111F58"/>
    <w:rsid w:val="00115449"/>
    <w:rsid w:val="00116112"/>
    <w:rsid w:val="00120A45"/>
    <w:rsid w:val="00125F50"/>
    <w:rsid w:val="00131E05"/>
    <w:rsid w:val="00135AB5"/>
    <w:rsid w:val="00141F5B"/>
    <w:rsid w:val="00146760"/>
    <w:rsid w:val="001577D3"/>
    <w:rsid w:val="00157FDF"/>
    <w:rsid w:val="001629CD"/>
    <w:rsid w:val="0016564E"/>
    <w:rsid w:val="00167686"/>
    <w:rsid w:val="001678C7"/>
    <w:rsid w:val="00172A27"/>
    <w:rsid w:val="00176CE7"/>
    <w:rsid w:val="00180C6C"/>
    <w:rsid w:val="00180EE4"/>
    <w:rsid w:val="00182026"/>
    <w:rsid w:val="00185579"/>
    <w:rsid w:val="00187037"/>
    <w:rsid w:val="00187ADA"/>
    <w:rsid w:val="00191430"/>
    <w:rsid w:val="0019687D"/>
    <w:rsid w:val="00196DB0"/>
    <w:rsid w:val="001A5E76"/>
    <w:rsid w:val="001B5B12"/>
    <w:rsid w:val="001C2872"/>
    <w:rsid w:val="001C30A0"/>
    <w:rsid w:val="001D2AE0"/>
    <w:rsid w:val="001D52DC"/>
    <w:rsid w:val="001D6948"/>
    <w:rsid w:val="001E29F5"/>
    <w:rsid w:val="001F1D5A"/>
    <w:rsid w:val="00215B58"/>
    <w:rsid w:val="00217A87"/>
    <w:rsid w:val="00221B6C"/>
    <w:rsid w:val="00221F02"/>
    <w:rsid w:val="00222B9B"/>
    <w:rsid w:val="0023456F"/>
    <w:rsid w:val="002368DE"/>
    <w:rsid w:val="00237B89"/>
    <w:rsid w:val="00241254"/>
    <w:rsid w:val="002417F7"/>
    <w:rsid w:val="00241DD9"/>
    <w:rsid w:val="00247B3D"/>
    <w:rsid w:val="00250416"/>
    <w:rsid w:val="00252302"/>
    <w:rsid w:val="002568CA"/>
    <w:rsid w:val="00263E31"/>
    <w:rsid w:val="00265A74"/>
    <w:rsid w:val="00266718"/>
    <w:rsid w:val="00274F77"/>
    <w:rsid w:val="00275D62"/>
    <w:rsid w:val="002763F4"/>
    <w:rsid w:val="0027764E"/>
    <w:rsid w:val="002814FB"/>
    <w:rsid w:val="00293CA2"/>
    <w:rsid w:val="00295D96"/>
    <w:rsid w:val="002970B8"/>
    <w:rsid w:val="00297BAC"/>
    <w:rsid w:val="002A2114"/>
    <w:rsid w:val="002A62BF"/>
    <w:rsid w:val="002A70EE"/>
    <w:rsid w:val="002B1ACB"/>
    <w:rsid w:val="002B351F"/>
    <w:rsid w:val="002B63FC"/>
    <w:rsid w:val="002B7B7C"/>
    <w:rsid w:val="002D5B93"/>
    <w:rsid w:val="002D5FD8"/>
    <w:rsid w:val="002D7FF4"/>
    <w:rsid w:val="002E609A"/>
    <w:rsid w:val="002F4319"/>
    <w:rsid w:val="002F4393"/>
    <w:rsid w:val="002F5BFC"/>
    <w:rsid w:val="00301BBD"/>
    <w:rsid w:val="003022E5"/>
    <w:rsid w:val="0031074D"/>
    <w:rsid w:val="00313B8F"/>
    <w:rsid w:val="00321039"/>
    <w:rsid w:val="00321741"/>
    <w:rsid w:val="00322992"/>
    <w:rsid w:val="0033786E"/>
    <w:rsid w:val="00341E82"/>
    <w:rsid w:val="003455CE"/>
    <w:rsid w:val="00346373"/>
    <w:rsid w:val="0034638C"/>
    <w:rsid w:val="00347DB9"/>
    <w:rsid w:val="00351BDD"/>
    <w:rsid w:val="00353697"/>
    <w:rsid w:val="0035704D"/>
    <w:rsid w:val="003575AE"/>
    <w:rsid w:val="0036765D"/>
    <w:rsid w:val="00381D96"/>
    <w:rsid w:val="00382842"/>
    <w:rsid w:val="00384C66"/>
    <w:rsid w:val="00390FDF"/>
    <w:rsid w:val="003911FD"/>
    <w:rsid w:val="00392B7B"/>
    <w:rsid w:val="00397107"/>
    <w:rsid w:val="003A20DA"/>
    <w:rsid w:val="003A3D4A"/>
    <w:rsid w:val="003A544D"/>
    <w:rsid w:val="003B568C"/>
    <w:rsid w:val="003B5B74"/>
    <w:rsid w:val="003B7949"/>
    <w:rsid w:val="003B7AE9"/>
    <w:rsid w:val="003C1A78"/>
    <w:rsid w:val="003C1D5C"/>
    <w:rsid w:val="003D3351"/>
    <w:rsid w:val="003D4444"/>
    <w:rsid w:val="003E0686"/>
    <w:rsid w:val="003E1621"/>
    <w:rsid w:val="003E228D"/>
    <w:rsid w:val="003E2957"/>
    <w:rsid w:val="003F0C2E"/>
    <w:rsid w:val="003F12E9"/>
    <w:rsid w:val="003F1714"/>
    <w:rsid w:val="003F2B3A"/>
    <w:rsid w:val="003F37F1"/>
    <w:rsid w:val="003F3E8A"/>
    <w:rsid w:val="003F76F5"/>
    <w:rsid w:val="003F775D"/>
    <w:rsid w:val="0040065A"/>
    <w:rsid w:val="00400CFC"/>
    <w:rsid w:val="00401147"/>
    <w:rsid w:val="00403A0D"/>
    <w:rsid w:val="00403E78"/>
    <w:rsid w:val="00404CCE"/>
    <w:rsid w:val="00411CF9"/>
    <w:rsid w:val="004156A7"/>
    <w:rsid w:val="00417F65"/>
    <w:rsid w:val="004225AD"/>
    <w:rsid w:val="004246FA"/>
    <w:rsid w:val="004249D7"/>
    <w:rsid w:val="004253B9"/>
    <w:rsid w:val="00425C51"/>
    <w:rsid w:val="00426B01"/>
    <w:rsid w:val="00432386"/>
    <w:rsid w:val="00437FD8"/>
    <w:rsid w:val="004512DD"/>
    <w:rsid w:val="0045208A"/>
    <w:rsid w:val="00454CBA"/>
    <w:rsid w:val="00457DE9"/>
    <w:rsid w:val="0046046C"/>
    <w:rsid w:val="00461037"/>
    <w:rsid w:val="00472846"/>
    <w:rsid w:val="0047317B"/>
    <w:rsid w:val="00476025"/>
    <w:rsid w:val="00484095"/>
    <w:rsid w:val="00490E74"/>
    <w:rsid w:val="00495449"/>
    <w:rsid w:val="004977A3"/>
    <w:rsid w:val="004A4D17"/>
    <w:rsid w:val="004A520D"/>
    <w:rsid w:val="004A6C33"/>
    <w:rsid w:val="004A7F1D"/>
    <w:rsid w:val="004A7FB5"/>
    <w:rsid w:val="004B01B0"/>
    <w:rsid w:val="004B1AA5"/>
    <w:rsid w:val="004B1FA8"/>
    <w:rsid w:val="004B2842"/>
    <w:rsid w:val="004B7C5A"/>
    <w:rsid w:val="004C0A28"/>
    <w:rsid w:val="004C2099"/>
    <w:rsid w:val="004C3193"/>
    <w:rsid w:val="004C6ACC"/>
    <w:rsid w:val="004C718E"/>
    <w:rsid w:val="004D1930"/>
    <w:rsid w:val="004D5C05"/>
    <w:rsid w:val="004D7F9A"/>
    <w:rsid w:val="004E33C1"/>
    <w:rsid w:val="004F118A"/>
    <w:rsid w:val="004F72BA"/>
    <w:rsid w:val="004F7CE5"/>
    <w:rsid w:val="00515C2F"/>
    <w:rsid w:val="005163B0"/>
    <w:rsid w:val="005247A3"/>
    <w:rsid w:val="00532596"/>
    <w:rsid w:val="00533F96"/>
    <w:rsid w:val="00537C28"/>
    <w:rsid w:val="0055146B"/>
    <w:rsid w:val="00551779"/>
    <w:rsid w:val="00552A7E"/>
    <w:rsid w:val="00562432"/>
    <w:rsid w:val="0056353C"/>
    <w:rsid w:val="005642F6"/>
    <w:rsid w:val="005677AE"/>
    <w:rsid w:val="005722C1"/>
    <w:rsid w:val="0057253D"/>
    <w:rsid w:val="00573CE0"/>
    <w:rsid w:val="00574063"/>
    <w:rsid w:val="005762B2"/>
    <w:rsid w:val="00582368"/>
    <w:rsid w:val="005863AE"/>
    <w:rsid w:val="005878E0"/>
    <w:rsid w:val="00590F87"/>
    <w:rsid w:val="00595C71"/>
    <w:rsid w:val="005976AF"/>
    <w:rsid w:val="005B3E8C"/>
    <w:rsid w:val="005C122E"/>
    <w:rsid w:val="005C2176"/>
    <w:rsid w:val="005C4013"/>
    <w:rsid w:val="005C70CB"/>
    <w:rsid w:val="005D40E8"/>
    <w:rsid w:val="005D50D3"/>
    <w:rsid w:val="005E37B9"/>
    <w:rsid w:val="005E3A4F"/>
    <w:rsid w:val="005E3E0F"/>
    <w:rsid w:val="005E640A"/>
    <w:rsid w:val="005E6F32"/>
    <w:rsid w:val="005F05F0"/>
    <w:rsid w:val="00603B5D"/>
    <w:rsid w:val="00603ED7"/>
    <w:rsid w:val="00605FD3"/>
    <w:rsid w:val="00606846"/>
    <w:rsid w:val="006178E1"/>
    <w:rsid w:val="006238E2"/>
    <w:rsid w:val="0062632F"/>
    <w:rsid w:val="00643450"/>
    <w:rsid w:val="00643904"/>
    <w:rsid w:val="00644BE7"/>
    <w:rsid w:val="00644F01"/>
    <w:rsid w:val="006478B1"/>
    <w:rsid w:val="00652E7E"/>
    <w:rsid w:val="00654755"/>
    <w:rsid w:val="00656BE1"/>
    <w:rsid w:val="00656CB6"/>
    <w:rsid w:val="00665680"/>
    <w:rsid w:val="00665ACF"/>
    <w:rsid w:val="00667CE1"/>
    <w:rsid w:val="0067142F"/>
    <w:rsid w:val="006722C9"/>
    <w:rsid w:val="00672C05"/>
    <w:rsid w:val="006805C8"/>
    <w:rsid w:val="00680D14"/>
    <w:rsid w:val="0069244F"/>
    <w:rsid w:val="006942DF"/>
    <w:rsid w:val="00694690"/>
    <w:rsid w:val="006955D8"/>
    <w:rsid w:val="006A34D2"/>
    <w:rsid w:val="006A3DD7"/>
    <w:rsid w:val="006A42FA"/>
    <w:rsid w:val="006A48CC"/>
    <w:rsid w:val="006B2C1C"/>
    <w:rsid w:val="006B3316"/>
    <w:rsid w:val="006C4830"/>
    <w:rsid w:val="006D08A8"/>
    <w:rsid w:val="006D1F0B"/>
    <w:rsid w:val="006D2ADD"/>
    <w:rsid w:val="006E7411"/>
    <w:rsid w:val="006F00F4"/>
    <w:rsid w:val="006F30E8"/>
    <w:rsid w:val="0071672A"/>
    <w:rsid w:val="007222BF"/>
    <w:rsid w:val="00726B6C"/>
    <w:rsid w:val="0073147B"/>
    <w:rsid w:val="00731C50"/>
    <w:rsid w:val="00732A18"/>
    <w:rsid w:val="007332B1"/>
    <w:rsid w:val="00734EEC"/>
    <w:rsid w:val="00737E81"/>
    <w:rsid w:val="007402DF"/>
    <w:rsid w:val="007445B3"/>
    <w:rsid w:val="00746432"/>
    <w:rsid w:val="00751259"/>
    <w:rsid w:val="007620B5"/>
    <w:rsid w:val="00765C1C"/>
    <w:rsid w:val="00770E01"/>
    <w:rsid w:val="00772A87"/>
    <w:rsid w:val="007774D5"/>
    <w:rsid w:val="00782E08"/>
    <w:rsid w:val="00784A1A"/>
    <w:rsid w:val="007937FB"/>
    <w:rsid w:val="0079520F"/>
    <w:rsid w:val="007967D6"/>
    <w:rsid w:val="007A64CD"/>
    <w:rsid w:val="007B5847"/>
    <w:rsid w:val="007C6268"/>
    <w:rsid w:val="007D2794"/>
    <w:rsid w:val="007D3A3D"/>
    <w:rsid w:val="007E1539"/>
    <w:rsid w:val="007E5F7D"/>
    <w:rsid w:val="007F2884"/>
    <w:rsid w:val="007F2C67"/>
    <w:rsid w:val="007F680E"/>
    <w:rsid w:val="007F68B7"/>
    <w:rsid w:val="0080236B"/>
    <w:rsid w:val="00804430"/>
    <w:rsid w:val="0081159A"/>
    <w:rsid w:val="00815F0D"/>
    <w:rsid w:val="00824539"/>
    <w:rsid w:val="0082618D"/>
    <w:rsid w:val="008275F9"/>
    <w:rsid w:val="00830793"/>
    <w:rsid w:val="00832DF9"/>
    <w:rsid w:val="008440F6"/>
    <w:rsid w:val="00844285"/>
    <w:rsid w:val="008466CC"/>
    <w:rsid w:val="008474A7"/>
    <w:rsid w:val="008512D4"/>
    <w:rsid w:val="00852FE5"/>
    <w:rsid w:val="00853DDF"/>
    <w:rsid w:val="00855694"/>
    <w:rsid w:val="00861991"/>
    <w:rsid w:val="008621B0"/>
    <w:rsid w:val="008633E8"/>
    <w:rsid w:val="00863E47"/>
    <w:rsid w:val="00870BD4"/>
    <w:rsid w:val="00871E13"/>
    <w:rsid w:val="008771D3"/>
    <w:rsid w:val="00890C5E"/>
    <w:rsid w:val="00893773"/>
    <w:rsid w:val="008A1D9B"/>
    <w:rsid w:val="008A1E42"/>
    <w:rsid w:val="008A2A76"/>
    <w:rsid w:val="008A3C3E"/>
    <w:rsid w:val="008A5790"/>
    <w:rsid w:val="008B2024"/>
    <w:rsid w:val="008B253A"/>
    <w:rsid w:val="008B64FE"/>
    <w:rsid w:val="008B6C21"/>
    <w:rsid w:val="008C2EDD"/>
    <w:rsid w:val="008C4020"/>
    <w:rsid w:val="008C56DD"/>
    <w:rsid w:val="008D045C"/>
    <w:rsid w:val="008D05FC"/>
    <w:rsid w:val="008D0AE7"/>
    <w:rsid w:val="008D1471"/>
    <w:rsid w:val="008D37C6"/>
    <w:rsid w:val="008D6418"/>
    <w:rsid w:val="008D6565"/>
    <w:rsid w:val="008D6794"/>
    <w:rsid w:val="008E5C44"/>
    <w:rsid w:val="008E66CE"/>
    <w:rsid w:val="008F14F6"/>
    <w:rsid w:val="008F454F"/>
    <w:rsid w:val="00902D22"/>
    <w:rsid w:val="00907448"/>
    <w:rsid w:val="0091051B"/>
    <w:rsid w:val="0091400E"/>
    <w:rsid w:val="00916C8D"/>
    <w:rsid w:val="00927608"/>
    <w:rsid w:val="00927C3B"/>
    <w:rsid w:val="009323C2"/>
    <w:rsid w:val="00932AC9"/>
    <w:rsid w:val="009362AD"/>
    <w:rsid w:val="00936C76"/>
    <w:rsid w:val="00937142"/>
    <w:rsid w:val="009377C7"/>
    <w:rsid w:val="00937A7F"/>
    <w:rsid w:val="009436BA"/>
    <w:rsid w:val="00945291"/>
    <w:rsid w:val="0095325A"/>
    <w:rsid w:val="00953860"/>
    <w:rsid w:val="009577F3"/>
    <w:rsid w:val="00961EB1"/>
    <w:rsid w:val="00971398"/>
    <w:rsid w:val="00972FBB"/>
    <w:rsid w:val="009753E0"/>
    <w:rsid w:val="009765B2"/>
    <w:rsid w:val="00980F7E"/>
    <w:rsid w:val="009820B8"/>
    <w:rsid w:val="009854A7"/>
    <w:rsid w:val="0098556D"/>
    <w:rsid w:val="00992C73"/>
    <w:rsid w:val="009A2CE5"/>
    <w:rsid w:val="009A33B7"/>
    <w:rsid w:val="009B41C3"/>
    <w:rsid w:val="009C1A21"/>
    <w:rsid w:val="009D3784"/>
    <w:rsid w:val="009D3E44"/>
    <w:rsid w:val="009E0F7C"/>
    <w:rsid w:val="009E10E0"/>
    <w:rsid w:val="009E18A7"/>
    <w:rsid w:val="009E1AA9"/>
    <w:rsid w:val="009E47F5"/>
    <w:rsid w:val="00A000B4"/>
    <w:rsid w:val="00A035E9"/>
    <w:rsid w:val="00A04D36"/>
    <w:rsid w:val="00A050F2"/>
    <w:rsid w:val="00A11088"/>
    <w:rsid w:val="00A11873"/>
    <w:rsid w:val="00A120E4"/>
    <w:rsid w:val="00A122AD"/>
    <w:rsid w:val="00A26C2A"/>
    <w:rsid w:val="00A400AA"/>
    <w:rsid w:val="00A447D6"/>
    <w:rsid w:val="00A44DD6"/>
    <w:rsid w:val="00A46AAA"/>
    <w:rsid w:val="00A56CBF"/>
    <w:rsid w:val="00A604B8"/>
    <w:rsid w:val="00A60722"/>
    <w:rsid w:val="00A73D35"/>
    <w:rsid w:val="00A81A39"/>
    <w:rsid w:val="00A869CB"/>
    <w:rsid w:val="00A877C2"/>
    <w:rsid w:val="00A91042"/>
    <w:rsid w:val="00A9105C"/>
    <w:rsid w:val="00A91349"/>
    <w:rsid w:val="00A919A6"/>
    <w:rsid w:val="00A94F9B"/>
    <w:rsid w:val="00AA545D"/>
    <w:rsid w:val="00AA7825"/>
    <w:rsid w:val="00AB0856"/>
    <w:rsid w:val="00AB32B0"/>
    <w:rsid w:val="00AB3C2E"/>
    <w:rsid w:val="00AB6F52"/>
    <w:rsid w:val="00AC4674"/>
    <w:rsid w:val="00AC6273"/>
    <w:rsid w:val="00AD04E1"/>
    <w:rsid w:val="00AD09D3"/>
    <w:rsid w:val="00AD1B9D"/>
    <w:rsid w:val="00AE2E27"/>
    <w:rsid w:val="00AE54BF"/>
    <w:rsid w:val="00AE7921"/>
    <w:rsid w:val="00AE794B"/>
    <w:rsid w:val="00B00FEA"/>
    <w:rsid w:val="00B02EBB"/>
    <w:rsid w:val="00B045BA"/>
    <w:rsid w:val="00B04A5B"/>
    <w:rsid w:val="00B05460"/>
    <w:rsid w:val="00B062A6"/>
    <w:rsid w:val="00B16B88"/>
    <w:rsid w:val="00B16C2D"/>
    <w:rsid w:val="00B20B97"/>
    <w:rsid w:val="00B20DB7"/>
    <w:rsid w:val="00B2141A"/>
    <w:rsid w:val="00B265F1"/>
    <w:rsid w:val="00B329C3"/>
    <w:rsid w:val="00B338FB"/>
    <w:rsid w:val="00B33993"/>
    <w:rsid w:val="00B34294"/>
    <w:rsid w:val="00B35909"/>
    <w:rsid w:val="00B35B0E"/>
    <w:rsid w:val="00B41315"/>
    <w:rsid w:val="00B45135"/>
    <w:rsid w:val="00B47825"/>
    <w:rsid w:val="00B51439"/>
    <w:rsid w:val="00B563EA"/>
    <w:rsid w:val="00B57000"/>
    <w:rsid w:val="00B7086D"/>
    <w:rsid w:val="00B71CFA"/>
    <w:rsid w:val="00B73BD5"/>
    <w:rsid w:val="00B806D4"/>
    <w:rsid w:val="00B85D32"/>
    <w:rsid w:val="00BA0770"/>
    <w:rsid w:val="00BA1408"/>
    <w:rsid w:val="00BA607F"/>
    <w:rsid w:val="00BB15EC"/>
    <w:rsid w:val="00BC061D"/>
    <w:rsid w:val="00BD056D"/>
    <w:rsid w:val="00BD33A6"/>
    <w:rsid w:val="00BE1545"/>
    <w:rsid w:val="00BE4026"/>
    <w:rsid w:val="00BE5BEF"/>
    <w:rsid w:val="00BE66BC"/>
    <w:rsid w:val="00BF0BDB"/>
    <w:rsid w:val="00BF14D0"/>
    <w:rsid w:val="00BF240B"/>
    <w:rsid w:val="00BF333B"/>
    <w:rsid w:val="00BF5682"/>
    <w:rsid w:val="00C00A1E"/>
    <w:rsid w:val="00C12181"/>
    <w:rsid w:val="00C25643"/>
    <w:rsid w:val="00C379AF"/>
    <w:rsid w:val="00C4084E"/>
    <w:rsid w:val="00C4128D"/>
    <w:rsid w:val="00C43555"/>
    <w:rsid w:val="00C468EE"/>
    <w:rsid w:val="00C46FAC"/>
    <w:rsid w:val="00C47ED0"/>
    <w:rsid w:val="00C60FB6"/>
    <w:rsid w:val="00C6167D"/>
    <w:rsid w:val="00C62C71"/>
    <w:rsid w:val="00C65B21"/>
    <w:rsid w:val="00C741C5"/>
    <w:rsid w:val="00C762BA"/>
    <w:rsid w:val="00C90CF0"/>
    <w:rsid w:val="00C90F95"/>
    <w:rsid w:val="00C944F7"/>
    <w:rsid w:val="00C965EF"/>
    <w:rsid w:val="00C96AAF"/>
    <w:rsid w:val="00CA2578"/>
    <w:rsid w:val="00CA5AF5"/>
    <w:rsid w:val="00CA6E18"/>
    <w:rsid w:val="00CA7060"/>
    <w:rsid w:val="00CB3EDC"/>
    <w:rsid w:val="00CC1D1B"/>
    <w:rsid w:val="00CC26D6"/>
    <w:rsid w:val="00CD78ED"/>
    <w:rsid w:val="00CE2254"/>
    <w:rsid w:val="00CE2922"/>
    <w:rsid w:val="00CE2FAE"/>
    <w:rsid w:val="00CF095D"/>
    <w:rsid w:val="00CF3E72"/>
    <w:rsid w:val="00D00E3D"/>
    <w:rsid w:val="00D1320F"/>
    <w:rsid w:val="00D1384C"/>
    <w:rsid w:val="00D15F83"/>
    <w:rsid w:val="00D32C4D"/>
    <w:rsid w:val="00D34D37"/>
    <w:rsid w:val="00D41DBC"/>
    <w:rsid w:val="00D437A0"/>
    <w:rsid w:val="00D50D83"/>
    <w:rsid w:val="00D5421B"/>
    <w:rsid w:val="00D55262"/>
    <w:rsid w:val="00D55409"/>
    <w:rsid w:val="00D60AC1"/>
    <w:rsid w:val="00D62042"/>
    <w:rsid w:val="00D62847"/>
    <w:rsid w:val="00D62B76"/>
    <w:rsid w:val="00D641E2"/>
    <w:rsid w:val="00D71B4E"/>
    <w:rsid w:val="00D72607"/>
    <w:rsid w:val="00D74466"/>
    <w:rsid w:val="00D82D6B"/>
    <w:rsid w:val="00D870BB"/>
    <w:rsid w:val="00D951AD"/>
    <w:rsid w:val="00DA0B7A"/>
    <w:rsid w:val="00DA112F"/>
    <w:rsid w:val="00DA49B1"/>
    <w:rsid w:val="00DA5947"/>
    <w:rsid w:val="00DA6E80"/>
    <w:rsid w:val="00DB2068"/>
    <w:rsid w:val="00DB3E1A"/>
    <w:rsid w:val="00DC3100"/>
    <w:rsid w:val="00DC47C7"/>
    <w:rsid w:val="00DD64CA"/>
    <w:rsid w:val="00DE0A9C"/>
    <w:rsid w:val="00DE639E"/>
    <w:rsid w:val="00DE7BD7"/>
    <w:rsid w:val="00DF0830"/>
    <w:rsid w:val="00DF414C"/>
    <w:rsid w:val="00DF73CD"/>
    <w:rsid w:val="00E04C9D"/>
    <w:rsid w:val="00E0536C"/>
    <w:rsid w:val="00E12928"/>
    <w:rsid w:val="00E132A6"/>
    <w:rsid w:val="00E16414"/>
    <w:rsid w:val="00E16BD4"/>
    <w:rsid w:val="00E20403"/>
    <w:rsid w:val="00E22AF0"/>
    <w:rsid w:val="00E26DB4"/>
    <w:rsid w:val="00E303FB"/>
    <w:rsid w:val="00E33F26"/>
    <w:rsid w:val="00E3426E"/>
    <w:rsid w:val="00E346AB"/>
    <w:rsid w:val="00E35CB1"/>
    <w:rsid w:val="00E36063"/>
    <w:rsid w:val="00E37907"/>
    <w:rsid w:val="00E423F7"/>
    <w:rsid w:val="00E432CA"/>
    <w:rsid w:val="00E53DFA"/>
    <w:rsid w:val="00E541C6"/>
    <w:rsid w:val="00E57B84"/>
    <w:rsid w:val="00E60587"/>
    <w:rsid w:val="00E6463F"/>
    <w:rsid w:val="00E701BF"/>
    <w:rsid w:val="00E7367C"/>
    <w:rsid w:val="00E77434"/>
    <w:rsid w:val="00E830C6"/>
    <w:rsid w:val="00E91EBB"/>
    <w:rsid w:val="00E92EAD"/>
    <w:rsid w:val="00E95EB0"/>
    <w:rsid w:val="00EA085B"/>
    <w:rsid w:val="00EB390A"/>
    <w:rsid w:val="00EB4522"/>
    <w:rsid w:val="00EC22F0"/>
    <w:rsid w:val="00EC73EA"/>
    <w:rsid w:val="00ED1E2F"/>
    <w:rsid w:val="00ED45BC"/>
    <w:rsid w:val="00ED5F56"/>
    <w:rsid w:val="00EF0497"/>
    <w:rsid w:val="00EF7F83"/>
    <w:rsid w:val="00F05134"/>
    <w:rsid w:val="00F0522A"/>
    <w:rsid w:val="00F061DC"/>
    <w:rsid w:val="00F066AB"/>
    <w:rsid w:val="00F1041C"/>
    <w:rsid w:val="00F152AC"/>
    <w:rsid w:val="00F22F4C"/>
    <w:rsid w:val="00F30EF6"/>
    <w:rsid w:val="00F34337"/>
    <w:rsid w:val="00F35973"/>
    <w:rsid w:val="00F401C9"/>
    <w:rsid w:val="00F405A3"/>
    <w:rsid w:val="00F44E25"/>
    <w:rsid w:val="00F53D93"/>
    <w:rsid w:val="00F62E9C"/>
    <w:rsid w:val="00F6433E"/>
    <w:rsid w:val="00F664F5"/>
    <w:rsid w:val="00F67C71"/>
    <w:rsid w:val="00F717CE"/>
    <w:rsid w:val="00F71F53"/>
    <w:rsid w:val="00F74576"/>
    <w:rsid w:val="00F74FB2"/>
    <w:rsid w:val="00F77670"/>
    <w:rsid w:val="00F77F8E"/>
    <w:rsid w:val="00F9257D"/>
    <w:rsid w:val="00F93671"/>
    <w:rsid w:val="00F942EE"/>
    <w:rsid w:val="00F94F59"/>
    <w:rsid w:val="00FA1523"/>
    <w:rsid w:val="00FA2ECD"/>
    <w:rsid w:val="00FA4B17"/>
    <w:rsid w:val="00FB2369"/>
    <w:rsid w:val="00FB2490"/>
    <w:rsid w:val="00FB3712"/>
    <w:rsid w:val="00FC02E3"/>
    <w:rsid w:val="00FC5F1C"/>
    <w:rsid w:val="00FC5FFF"/>
    <w:rsid w:val="00FD76DE"/>
    <w:rsid w:val="00FE378C"/>
    <w:rsid w:val="00FF1E99"/>
    <w:rsid w:val="00FF3059"/>
    <w:rsid w:val="00FF5CB7"/>
    <w:rsid w:val="010158D6"/>
    <w:rsid w:val="01136764"/>
    <w:rsid w:val="01236009"/>
    <w:rsid w:val="012822CE"/>
    <w:rsid w:val="01437C9C"/>
    <w:rsid w:val="017A355E"/>
    <w:rsid w:val="019A0878"/>
    <w:rsid w:val="01A45FBC"/>
    <w:rsid w:val="01B83CAA"/>
    <w:rsid w:val="01B97DB0"/>
    <w:rsid w:val="01DC338D"/>
    <w:rsid w:val="01F42CF7"/>
    <w:rsid w:val="01F571E8"/>
    <w:rsid w:val="025263E9"/>
    <w:rsid w:val="027C4D3F"/>
    <w:rsid w:val="028B77F6"/>
    <w:rsid w:val="02AB5AF9"/>
    <w:rsid w:val="02CE3596"/>
    <w:rsid w:val="02E334E5"/>
    <w:rsid w:val="02FC2124"/>
    <w:rsid w:val="03082F4B"/>
    <w:rsid w:val="031418F0"/>
    <w:rsid w:val="03194068"/>
    <w:rsid w:val="031C07A5"/>
    <w:rsid w:val="032416C0"/>
    <w:rsid w:val="037B54CB"/>
    <w:rsid w:val="03854524"/>
    <w:rsid w:val="03B15391"/>
    <w:rsid w:val="03CF1B69"/>
    <w:rsid w:val="03D1158F"/>
    <w:rsid w:val="03DE687F"/>
    <w:rsid w:val="03E46314"/>
    <w:rsid w:val="03F1328F"/>
    <w:rsid w:val="03F37758"/>
    <w:rsid w:val="03F479A9"/>
    <w:rsid w:val="03FF434E"/>
    <w:rsid w:val="0417506E"/>
    <w:rsid w:val="044004C3"/>
    <w:rsid w:val="044E0194"/>
    <w:rsid w:val="04605215"/>
    <w:rsid w:val="046A44ED"/>
    <w:rsid w:val="049450FD"/>
    <w:rsid w:val="04A647CA"/>
    <w:rsid w:val="04E555EC"/>
    <w:rsid w:val="04F35535"/>
    <w:rsid w:val="050E4B54"/>
    <w:rsid w:val="05355CC3"/>
    <w:rsid w:val="05391A55"/>
    <w:rsid w:val="053E6ED6"/>
    <w:rsid w:val="053F1385"/>
    <w:rsid w:val="0543203C"/>
    <w:rsid w:val="05674A63"/>
    <w:rsid w:val="05726CCF"/>
    <w:rsid w:val="05865D17"/>
    <w:rsid w:val="05972365"/>
    <w:rsid w:val="05AF696F"/>
    <w:rsid w:val="05C5524C"/>
    <w:rsid w:val="05CF0C1A"/>
    <w:rsid w:val="05E70B21"/>
    <w:rsid w:val="05E72822"/>
    <w:rsid w:val="05F17CC7"/>
    <w:rsid w:val="05F32D3C"/>
    <w:rsid w:val="060D2627"/>
    <w:rsid w:val="062D7BF8"/>
    <w:rsid w:val="0634029A"/>
    <w:rsid w:val="063860AA"/>
    <w:rsid w:val="06456265"/>
    <w:rsid w:val="064B5192"/>
    <w:rsid w:val="06615801"/>
    <w:rsid w:val="068D3837"/>
    <w:rsid w:val="06A554B0"/>
    <w:rsid w:val="06A92B1B"/>
    <w:rsid w:val="06C93E2A"/>
    <w:rsid w:val="06E25412"/>
    <w:rsid w:val="070E4E53"/>
    <w:rsid w:val="072A448E"/>
    <w:rsid w:val="075273E7"/>
    <w:rsid w:val="075E138C"/>
    <w:rsid w:val="0797489E"/>
    <w:rsid w:val="07A94155"/>
    <w:rsid w:val="07C53BE7"/>
    <w:rsid w:val="07D04F20"/>
    <w:rsid w:val="07DC4691"/>
    <w:rsid w:val="08022CE1"/>
    <w:rsid w:val="0822131F"/>
    <w:rsid w:val="085B4D1B"/>
    <w:rsid w:val="086230FE"/>
    <w:rsid w:val="08744BDF"/>
    <w:rsid w:val="08813DD3"/>
    <w:rsid w:val="08836B83"/>
    <w:rsid w:val="0891753F"/>
    <w:rsid w:val="08AA0601"/>
    <w:rsid w:val="08B84ACC"/>
    <w:rsid w:val="08C82AD0"/>
    <w:rsid w:val="08D3102E"/>
    <w:rsid w:val="08F93F05"/>
    <w:rsid w:val="090B5543"/>
    <w:rsid w:val="091B65F3"/>
    <w:rsid w:val="0924252D"/>
    <w:rsid w:val="09412D13"/>
    <w:rsid w:val="0952458B"/>
    <w:rsid w:val="096114AF"/>
    <w:rsid w:val="09AD626B"/>
    <w:rsid w:val="09B90AFC"/>
    <w:rsid w:val="09E033AB"/>
    <w:rsid w:val="09EA6E0A"/>
    <w:rsid w:val="09F649B8"/>
    <w:rsid w:val="09F977AC"/>
    <w:rsid w:val="0A017779"/>
    <w:rsid w:val="0A077D9A"/>
    <w:rsid w:val="0A20501F"/>
    <w:rsid w:val="0A2924FB"/>
    <w:rsid w:val="0A644D15"/>
    <w:rsid w:val="0A6F0CA5"/>
    <w:rsid w:val="0AAB621D"/>
    <w:rsid w:val="0AC059D5"/>
    <w:rsid w:val="0B077F8D"/>
    <w:rsid w:val="0B0C7351"/>
    <w:rsid w:val="0B2A083E"/>
    <w:rsid w:val="0B386398"/>
    <w:rsid w:val="0B8D2240"/>
    <w:rsid w:val="0BA413E8"/>
    <w:rsid w:val="0BB67BEF"/>
    <w:rsid w:val="0BD25EA5"/>
    <w:rsid w:val="0C2E523D"/>
    <w:rsid w:val="0C663D72"/>
    <w:rsid w:val="0C676C2C"/>
    <w:rsid w:val="0C9E04D0"/>
    <w:rsid w:val="0CBD4DA7"/>
    <w:rsid w:val="0CCF6888"/>
    <w:rsid w:val="0CDE04E7"/>
    <w:rsid w:val="0CEE6F31"/>
    <w:rsid w:val="0CF8595B"/>
    <w:rsid w:val="0D2B7F62"/>
    <w:rsid w:val="0D4C612B"/>
    <w:rsid w:val="0D561C3A"/>
    <w:rsid w:val="0D8D397D"/>
    <w:rsid w:val="0D931D0B"/>
    <w:rsid w:val="0DB0712E"/>
    <w:rsid w:val="0DC82412"/>
    <w:rsid w:val="0E415563"/>
    <w:rsid w:val="0E5C239D"/>
    <w:rsid w:val="0E772D33"/>
    <w:rsid w:val="0E99714E"/>
    <w:rsid w:val="0EA73071"/>
    <w:rsid w:val="0EA855E3"/>
    <w:rsid w:val="0EA87899"/>
    <w:rsid w:val="0EAC0969"/>
    <w:rsid w:val="0EB45D35"/>
    <w:rsid w:val="0EB9334C"/>
    <w:rsid w:val="0EC7539A"/>
    <w:rsid w:val="0ECF0DC1"/>
    <w:rsid w:val="0ED4462A"/>
    <w:rsid w:val="0ED91C40"/>
    <w:rsid w:val="0EE04D7C"/>
    <w:rsid w:val="0EF06BB4"/>
    <w:rsid w:val="0F212F90"/>
    <w:rsid w:val="0F275A9D"/>
    <w:rsid w:val="0F3C1C27"/>
    <w:rsid w:val="0F87498F"/>
    <w:rsid w:val="0F8751F8"/>
    <w:rsid w:val="0FA062BA"/>
    <w:rsid w:val="0FEB2128"/>
    <w:rsid w:val="0FFC1951"/>
    <w:rsid w:val="10150A56"/>
    <w:rsid w:val="104E7BB9"/>
    <w:rsid w:val="106B6331"/>
    <w:rsid w:val="10727C56"/>
    <w:rsid w:val="109665D1"/>
    <w:rsid w:val="109B71AD"/>
    <w:rsid w:val="10A02A15"/>
    <w:rsid w:val="10A95DB3"/>
    <w:rsid w:val="10E30B54"/>
    <w:rsid w:val="10FD15ED"/>
    <w:rsid w:val="10FE598E"/>
    <w:rsid w:val="10FF40CA"/>
    <w:rsid w:val="111F432C"/>
    <w:rsid w:val="11514A9C"/>
    <w:rsid w:val="119A7921"/>
    <w:rsid w:val="11A647B8"/>
    <w:rsid w:val="11C52F1E"/>
    <w:rsid w:val="11E26F54"/>
    <w:rsid w:val="11EC3A38"/>
    <w:rsid w:val="11FC011F"/>
    <w:rsid w:val="1205310B"/>
    <w:rsid w:val="1246139A"/>
    <w:rsid w:val="124A4F3E"/>
    <w:rsid w:val="124B76B6"/>
    <w:rsid w:val="12573DD8"/>
    <w:rsid w:val="125B6C0C"/>
    <w:rsid w:val="125D49AC"/>
    <w:rsid w:val="126164E0"/>
    <w:rsid w:val="126F2A7F"/>
    <w:rsid w:val="12745F08"/>
    <w:rsid w:val="12A00A94"/>
    <w:rsid w:val="12BA2803"/>
    <w:rsid w:val="12C24608"/>
    <w:rsid w:val="12D6241F"/>
    <w:rsid w:val="12DB4374"/>
    <w:rsid w:val="12FC32E0"/>
    <w:rsid w:val="130C7CD3"/>
    <w:rsid w:val="13160D6D"/>
    <w:rsid w:val="132E255A"/>
    <w:rsid w:val="13432161"/>
    <w:rsid w:val="134F5229"/>
    <w:rsid w:val="13596EAB"/>
    <w:rsid w:val="13675A6C"/>
    <w:rsid w:val="1368023A"/>
    <w:rsid w:val="13766EFF"/>
    <w:rsid w:val="13900507"/>
    <w:rsid w:val="13982B05"/>
    <w:rsid w:val="13AA7707"/>
    <w:rsid w:val="13B44865"/>
    <w:rsid w:val="13BD1122"/>
    <w:rsid w:val="13C20F08"/>
    <w:rsid w:val="13FB08AE"/>
    <w:rsid w:val="14096231"/>
    <w:rsid w:val="140E51B2"/>
    <w:rsid w:val="143C7146"/>
    <w:rsid w:val="144B0EEA"/>
    <w:rsid w:val="146B740B"/>
    <w:rsid w:val="14717780"/>
    <w:rsid w:val="149F06A6"/>
    <w:rsid w:val="149F1232"/>
    <w:rsid w:val="14B65B8B"/>
    <w:rsid w:val="14BB3494"/>
    <w:rsid w:val="14BC52E7"/>
    <w:rsid w:val="14D964F6"/>
    <w:rsid w:val="14ED3D4F"/>
    <w:rsid w:val="15152203"/>
    <w:rsid w:val="153029AE"/>
    <w:rsid w:val="1540591D"/>
    <w:rsid w:val="1546345F"/>
    <w:rsid w:val="156B2873"/>
    <w:rsid w:val="157C55EE"/>
    <w:rsid w:val="157E7721"/>
    <w:rsid w:val="158E4707"/>
    <w:rsid w:val="15902C9E"/>
    <w:rsid w:val="15A27E56"/>
    <w:rsid w:val="15AE1730"/>
    <w:rsid w:val="15B20D2C"/>
    <w:rsid w:val="160503C0"/>
    <w:rsid w:val="161C210D"/>
    <w:rsid w:val="16412DF8"/>
    <w:rsid w:val="164652CE"/>
    <w:rsid w:val="164F1012"/>
    <w:rsid w:val="16504438"/>
    <w:rsid w:val="16724870"/>
    <w:rsid w:val="1675150D"/>
    <w:rsid w:val="168F1812"/>
    <w:rsid w:val="16914599"/>
    <w:rsid w:val="16AD0332"/>
    <w:rsid w:val="16AE42C4"/>
    <w:rsid w:val="16B64F0F"/>
    <w:rsid w:val="16D53851"/>
    <w:rsid w:val="16E619F9"/>
    <w:rsid w:val="17001735"/>
    <w:rsid w:val="170F3C50"/>
    <w:rsid w:val="171657DF"/>
    <w:rsid w:val="17250B31"/>
    <w:rsid w:val="172B0B5F"/>
    <w:rsid w:val="17471E3D"/>
    <w:rsid w:val="17550B29"/>
    <w:rsid w:val="176A3B1B"/>
    <w:rsid w:val="1798572E"/>
    <w:rsid w:val="17DA7BF4"/>
    <w:rsid w:val="17F3167D"/>
    <w:rsid w:val="183373D5"/>
    <w:rsid w:val="18337FEA"/>
    <w:rsid w:val="183B09AC"/>
    <w:rsid w:val="18426B32"/>
    <w:rsid w:val="188E5849"/>
    <w:rsid w:val="18A254E0"/>
    <w:rsid w:val="18DB462D"/>
    <w:rsid w:val="18F275FF"/>
    <w:rsid w:val="19111EDC"/>
    <w:rsid w:val="1942168B"/>
    <w:rsid w:val="19776877"/>
    <w:rsid w:val="19886C93"/>
    <w:rsid w:val="19A254E4"/>
    <w:rsid w:val="19B00806"/>
    <w:rsid w:val="19E349A4"/>
    <w:rsid w:val="1A172A47"/>
    <w:rsid w:val="1A401FFC"/>
    <w:rsid w:val="1A5D54D3"/>
    <w:rsid w:val="1A7016AA"/>
    <w:rsid w:val="1A805353"/>
    <w:rsid w:val="1A8D618B"/>
    <w:rsid w:val="1A92472C"/>
    <w:rsid w:val="1A9F5AEC"/>
    <w:rsid w:val="1AC35DC0"/>
    <w:rsid w:val="1AE14356"/>
    <w:rsid w:val="1AF8344E"/>
    <w:rsid w:val="1AFA71C6"/>
    <w:rsid w:val="1AFD1445"/>
    <w:rsid w:val="1B124510"/>
    <w:rsid w:val="1B1A73EC"/>
    <w:rsid w:val="1B5E1A6C"/>
    <w:rsid w:val="1B92559E"/>
    <w:rsid w:val="1B9413C8"/>
    <w:rsid w:val="1BB9498B"/>
    <w:rsid w:val="1BE05059"/>
    <w:rsid w:val="1BEC25C7"/>
    <w:rsid w:val="1BFA16D3"/>
    <w:rsid w:val="1BFA1728"/>
    <w:rsid w:val="1C1F5136"/>
    <w:rsid w:val="1C420E24"/>
    <w:rsid w:val="1C442F22"/>
    <w:rsid w:val="1C4A7DBD"/>
    <w:rsid w:val="1C4C57FF"/>
    <w:rsid w:val="1C4F49DF"/>
    <w:rsid w:val="1C5F03E4"/>
    <w:rsid w:val="1C611434"/>
    <w:rsid w:val="1C6A062A"/>
    <w:rsid w:val="1C737BD1"/>
    <w:rsid w:val="1C74603D"/>
    <w:rsid w:val="1C9517E7"/>
    <w:rsid w:val="1CBF4DEF"/>
    <w:rsid w:val="1CD4771A"/>
    <w:rsid w:val="1CEB6769"/>
    <w:rsid w:val="1CF218F5"/>
    <w:rsid w:val="1D1E0D71"/>
    <w:rsid w:val="1D1E53EE"/>
    <w:rsid w:val="1D1F5865"/>
    <w:rsid w:val="1D2D6B83"/>
    <w:rsid w:val="1D2E22D4"/>
    <w:rsid w:val="1D491D3F"/>
    <w:rsid w:val="1D6D3C7F"/>
    <w:rsid w:val="1D861EFB"/>
    <w:rsid w:val="1DBD0F47"/>
    <w:rsid w:val="1DC64691"/>
    <w:rsid w:val="1DD07515"/>
    <w:rsid w:val="1DD2442A"/>
    <w:rsid w:val="1DEA52D0"/>
    <w:rsid w:val="1DEB1048"/>
    <w:rsid w:val="1DEB66E3"/>
    <w:rsid w:val="1E00158C"/>
    <w:rsid w:val="1E220F0E"/>
    <w:rsid w:val="1E4470D6"/>
    <w:rsid w:val="1E6F3D98"/>
    <w:rsid w:val="1E802C33"/>
    <w:rsid w:val="1F177023"/>
    <w:rsid w:val="1F19200F"/>
    <w:rsid w:val="1F226CEB"/>
    <w:rsid w:val="1F52137F"/>
    <w:rsid w:val="1F796A74"/>
    <w:rsid w:val="1F912E37"/>
    <w:rsid w:val="1F943352"/>
    <w:rsid w:val="1F9A2C6B"/>
    <w:rsid w:val="1FA40A08"/>
    <w:rsid w:val="1FB7386B"/>
    <w:rsid w:val="1FC57D95"/>
    <w:rsid w:val="1FCD30FB"/>
    <w:rsid w:val="1FE43FA1"/>
    <w:rsid w:val="1FED554B"/>
    <w:rsid w:val="20105402"/>
    <w:rsid w:val="203D4B01"/>
    <w:rsid w:val="204238B8"/>
    <w:rsid w:val="20442FE5"/>
    <w:rsid w:val="20567D1E"/>
    <w:rsid w:val="20692E24"/>
    <w:rsid w:val="20906E33"/>
    <w:rsid w:val="20A53730"/>
    <w:rsid w:val="20BA367F"/>
    <w:rsid w:val="20DD736E"/>
    <w:rsid w:val="20E3135B"/>
    <w:rsid w:val="20E71F9A"/>
    <w:rsid w:val="20F10E46"/>
    <w:rsid w:val="20F12E19"/>
    <w:rsid w:val="211803A6"/>
    <w:rsid w:val="212A590C"/>
    <w:rsid w:val="2142268C"/>
    <w:rsid w:val="214C74AD"/>
    <w:rsid w:val="2172230F"/>
    <w:rsid w:val="218A50A0"/>
    <w:rsid w:val="218B0B78"/>
    <w:rsid w:val="219043E0"/>
    <w:rsid w:val="21C76A55"/>
    <w:rsid w:val="21CC7C9C"/>
    <w:rsid w:val="21CD18BF"/>
    <w:rsid w:val="220D77DF"/>
    <w:rsid w:val="220E0BC4"/>
    <w:rsid w:val="22364F87"/>
    <w:rsid w:val="22370D00"/>
    <w:rsid w:val="225B679C"/>
    <w:rsid w:val="227E06DD"/>
    <w:rsid w:val="227F4D69"/>
    <w:rsid w:val="22870361"/>
    <w:rsid w:val="228D6B72"/>
    <w:rsid w:val="22E91FFA"/>
    <w:rsid w:val="22ED19A4"/>
    <w:rsid w:val="22F93B4B"/>
    <w:rsid w:val="233010F3"/>
    <w:rsid w:val="23305E7B"/>
    <w:rsid w:val="233E0A23"/>
    <w:rsid w:val="234962B3"/>
    <w:rsid w:val="234979B9"/>
    <w:rsid w:val="23827D58"/>
    <w:rsid w:val="23981225"/>
    <w:rsid w:val="239F047F"/>
    <w:rsid w:val="23BD262A"/>
    <w:rsid w:val="23CE2DFC"/>
    <w:rsid w:val="23D05E28"/>
    <w:rsid w:val="23D87252"/>
    <w:rsid w:val="23DF33FD"/>
    <w:rsid w:val="23FF13A9"/>
    <w:rsid w:val="2403533D"/>
    <w:rsid w:val="240A70C8"/>
    <w:rsid w:val="24193711"/>
    <w:rsid w:val="24280900"/>
    <w:rsid w:val="24443260"/>
    <w:rsid w:val="245B0CD5"/>
    <w:rsid w:val="24765F0B"/>
    <w:rsid w:val="247E1D4C"/>
    <w:rsid w:val="248F4E23"/>
    <w:rsid w:val="24997A50"/>
    <w:rsid w:val="24A016BB"/>
    <w:rsid w:val="24E562E5"/>
    <w:rsid w:val="25042A18"/>
    <w:rsid w:val="25102957"/>
    <w:rsid w:val="252A0CB6"/>
    <w:rsid w:val="252F2F3A"/>
    <w:rsid w:val="2536467A"/>
    <w:rsid w:val="253816A5"/>
    <w:rsid w:val="253F4153"/>
    <w:rsid w:val="25454E4F"/>
    <w:rsid w:val="254F010E"/>
    <w:rsid w:val="2556149D"/>
    <w:rsid w:val="2556253C"/>
    <w:rsid w:val="255C1E8D"/>
    <w:rsid w:val="255F65F3"/>
    <w:rsid w:val="25AA1C61"/>
    <w:rsid w:val="25BF2B23"/>
    <w:rsid w:val="25CB59E7"/>
    <w:rsid w:val="25CC4D35"/>
    <w:rsid w:val="260402D9"/>
    <w:rsid w:val="261A3EFA"/>
    <w:rsid w:val="266F6BE4"/>
    <w:rsid w:val="2673268E"/>
    <w:rsid w:val="26C24D21"/>
    <w:rsid w:val="26D41C0F"/>
    <w:rsid w:val="26F64CE5"/>
    <w:rsid w:val="271B0BF0"/>
    <w:rsid w:val="273F0427"/>
    <w:rsid w:val="274E2D73"/>
    <w:rsid w:val="277F2F2D"/>
    <w:rsid w:val="27807297"/>
    <w:rsid w:val="27817875"/>
    <w:rsid w:val="2791418B"/>
    <w:rsid w:val="27B85859"/>
    <w:rsid w:val="27D45306"/>
    <w:rsid w:val="27DC037F"/>
    <w:rsid w:val="27E014F2"/>
    <w:rsid w:val="2805109B"/>
    <w:rsid w:val="280E14F2"/>
    <w:rsid w:val="28173165"/>
    <w:rsid w:val="28305FD5"/>
    <w:rsid w:val="2836388A"/>
    <w:rsid w:val="2858552C"/>
    <w:rsid w:val="28606244"/>
    <w:rsid w:val="287814A2"/>
    <w:rsid w:val="289F4F2F"/>
    <w:rsid w:val="28A57FD1"/>
    <w:rsid w:val="28A6273B"/>
    <w:rsid w:val="28AB41A0"/>
    <w:rsid w:val="28B135BA"/>
    <w:rsid w:val="28BE1E1C"/>
    <w:rsid w:val="28F9550D"/>
    <w:rsid w:val="2907142C"/>
    <w:rsid w:val="293C43BC"/>
    <w:rsid w:val="295A26F1"/>
    <w:rsid w:val="298F16C9"/>
    <w:rsid w:val="29B449E4"/>
    <w:rsid w:val="29CE3CF8"/>
    <w:rsid w:val="29D56F2D"/>
    <w:rsid w:val="29E91DA1"/>
    <w:rsid w:val="29EE79EA"/>
    <w:rsid w:val="29EE7EF6"/>
    <w:rsid w:val="2A472FCB"/>
    <w:rsid w:val="2A5F0DF4"/>
    <w:rsid w:val="2A6B2A4D"/>
    <w:rsid w:val="2A7C3112"/>
    <w:rsid w:val="2A8B3997"/>
    <w:rsid w:val="2A93542A"/>
    <w:rsid w:val="2A952A67"/>
    <w:rsid w:val="2AA21F6B"/>
    <w:rsid w:val="2AB77D1E"/>
    <w:rsid w:val="2AC722C1"/>
    <w:rsid w:val="2B260516"/>
    <w:rsid w:val="2B314DBC"/>
    <w:rsid w:val="2B4F70BA"/>
    <w:rsid w:val="2B5D0C7F"/>
    <w:rsid w:val="2B730AE6"/>
    <w:rsid w:val="2B78574C"/>
    <w:rsid w:val="2B7F4E58"/>
    <w:rsid w:val="2B884367"/>
    <w:rsid w:val="2BA47406"/>
    <w:rsid w:val="2BAF7421"/>
    <w:rsid w:val="2BB03688"/>
    <w:rsid w:val="2BC5709C"/>
    <w:rsid w:val="2BD55811"/>
    <w:rsid w:val="2BE55328"/>
    <w:rsid w:val="2BEA0496"/>
    <w:rsid w:val="2BFD6463"/>
    <w:rsid w:val="2C29519A"/>
    <w:rsid w:val="2C526E62"/>
    <w:rsid w:val="2C67781F"/>
    <w:rsid w:val="2C794D88"/>
    <w:rsid w:val="2C7F752B"/>
    <w:rsid w:val="2C902DFB"/>
    <w:rsid w:val="2CC83DB7"/>
    <w:rsid w:val="2CCC12A7"/>
    <w:rsid w:val="2CCE400E"/>
    <w:rsid w:val="2D1759B5"/>
    <w:rsid w:val="2D1A3654"/>
    <w:rsid w:val="2D2F0F51"/>
    <w:rsid w:val="2D361F7E"/>
    <w:rsid w:val="2D40315E"/>
    <w:rsid w:val="2D534943"/>
    <w:rsid w:val="2D6E6990"/>
    <w:rsid w:val="2D8C63A3"/>
    <w:rsid w:val="2D9242CA"/>
    <w:rsid w:val="2D972291"/>
    <w:rsid w:val="2DA84ADC"/>
    <w:rsid w:val="2DDA0AB5"/>
    <w:rsid w:val="2DEC371F"/>
    <w:rsid w:val="2E073C7C"/>
    <w:rsid w:val="2E6D7F83"/>
    <w:rsid w:val="2E7D698B"/>
    <w:rsid w:val="2E8E7EF9"/>
    <w:rsid w:val="2EA659BE"/>
    <w:rsid w:val="2EB05849"/>
    <w:rsid w:val="2EB866E4"/>
    <w:rsid w:val="2F57478F"/>
    <w:rsid w:val="2F637161"/>
    <w:rsid w:val="2F69240A"/>
    <w:rsid w:val="2F8B4222"/>
    <w:rsid w:val="2F9A3C86"/>
    <w:rsid w:val="2FA675E1"/>
    <w:rsid w:val="2FAF4990"/>
    <w:rsid w:val="2FC5794B"/>
    <w:rsid w:val="2FC979BB"/>
    <w:rsid w:val="2FCC21FD"/>
    <w:rsid w:val="2FCF1D27"/>
    <w:rsid w:val="2FE853E7"/>
    <w:rsid w:val="301E7B22"/>
    <w:rsid w:val="3081665F"/>
    <w:rsid w:val="309B0074"/>
    <w:rsid w:val="30A04FAC"/>
    <w:rsid w:val="30A9101A"/>
    <w:rsid w:val="30BD5CD5"/>
    <w:rsid w:val="30C45E54"/>
    <w:rsid w:val="30D00355"/>
    <w:rsid w:val="30ED699D"/>
    <w:rsid w:val="30F5248B"/>
    <w:rsid w:val="30FF0C3A"/>
    <w:rsid w:val="31175F84"/>
    <w:rsid w:val="313A580F"/>
    <w:rsid w:val="3163741B"/>
    <w:rsid w:val="31892EFB"/>
    <w:rsid w:val="318A2BFA"/>
    <w:rsid w:val="319952E7"/>
    <w:rsid w:val="319D3F3A"/>
    <w:rsid w:val="31D24F4C"/>
    <w:rsid w:val="31D30E9B"/>
    <w:rsid w:val="31E430E9"/>
    <w:rsid w:val="32082568"/>
    <w:rsid w:val="320B30F5"/>
    <w:rsid w:val="32226443"/>
    <w:rsid w:val="322F12EA"/>
    <w:rsid w:val="32635E29"/>
    <w:rsid w:val="327C271A"/>
    <w:rsid w:val="32B42167"/>
    <w:rsid w:val="32B51EF8"/>
    <w:rsid w:val="32C83163"/>
    <w:rsid w:val="32DA54BB"/>
    <w:rsid w:val="32E225C2"/>
    <w:rsid w:val="32EC1CEB"/>
    <w:rsid w:val="32F04CDF"/>
    <w:rsid w:val="32F7379A"/>
    <w:rsid w:val="330047FF"/>
    <w:rsid w:val="331F1B81"/>
    <w:rsid w:val="33274478"/>
    <w:rsid w:val="334334C8"/>
    <w:rsid w:val="335238E7"/>
    <w:rsid w:val="336D632F"/>
    <w:rsid w:val="33751688"/>
    <w:rsid w:val="339112CD"/>
    <w:rsid w:val="33B95A18"/>
    <w:rsid w:val="33DF6B01"/>
    <w:rsid w:val="34016FE1"/>
    <w:rsid w:val="34112CB7"/>
    <w:rsid w:val="34300A51"/>
    <w:rsid w:val="34376998"/>
    <w:rsid w:val="343B01DB"/>
    <w:rsid w:val="346239BA"/>
    <w:rsid w:val="3491331C"/>
    <w:rsid w:val="3497447F"/>
    <w:rsid w:val="34B21458"/>
    <w:rsid w:val="34BF4B08"/>
    <w:rsid w:val="34C12226"/>
    <w:rsid w:val="34F41115"/>
    <w:rsid w:val="34F734E8"/>
    <w:rsid w:val="34F869FD"/>
    <w:rsid w:val="3502780C"/>
    <w:rsid w:val="351750E2"/>
    <w:rsid w:val="35246EC1"/>
    <w:rsid w:val="353953B3"/>
    <w:rsid w:val="353B36EC"/>
    <w:rsid w:val="353D3322"/>
    <w:rsid w:val="35775243"/>
    <w:rsid w:val="35B35012"/>
    <w:rsid w:val="35BE10C4"/>
    <w:rsid w:val="35D75325"/>
    <w:rsid w:val="35F1149A"/>
    <w:rsid w:val="35F60CC4"/>
    <w:rsid w:val="36030FAD"/>
    <w:rsid w:val="3610407A"/>
    <w:rsid w:val="3619454C"/>
    <w:rsid w:val="361E7DB5"/>
    <w:rsid w:val="3625112A"/>
    <w:rsid w:val="368340BC"/>
    <w:rsid w:val="368379BD"/>
    <w:rsid w:val="36874DFF"/>
    <w:rsid w:val="369C569A"/>
    <w:rsid w:val="36CA5847"/>
    <w:rsid w:val="370C6A59"/>
    <w:rsid w:val="37131FFA"/>
    <w:rsid w:val="37166086"/>
    <w:rsid w:val="3729170D"/>
    <w:rsid w:val="373145CF"/>
    <w:rsid w:val="373E1116"/>
    <w:rsid w:val="37595EB0"/>
    <w:rsid w:val="376018E5"/>
    <w:rsid w:val="376F0CFF"/>
    <w:rsid w:val="37714567"/>
    <w:rsid w:val="37D270A9"/>
    <w:rsid w:val="37FA414B"/>
    <w:rsid w:val="381C6576"/>
    <w:rsid w:val="382A45EF"/>
    <w:rsid w:val="38433B03"/>
    <w:rsid w:val="384C66E7"/>
    <w:rsid w:val="385F2AC6"/>
    <w:rsid w:val="38635BD2"/>
    <w:rsid w:val="388062C7"/>
    <w:rsid w:val="389C3E7B"/>
    <w:rsid w:val="38A162E7"/>
    <w:rsid w:val="38AB4549"/>
    <w:rsid w:val="38B95FF3"/>
    <w:rsid w:val="38CD5B52"/>
    <w:rsid w:val="38E30E42"/>
    <w:rsid w:val="39100709"/>
    <w:rsid w:val="39140DAC"/>
    <w:rsid w:val="392B65B6"/>
    <w:rsid w:val="39347209"/>
    <w:rsid w:val="39382F3B"/>
    <w:rsid w:val="397A694A"/>
    <w:rsid w:val="39815F77"/>
    <w:rsid w:val="39DE7F87"/>
    <w:rsid w:val="39E3160F"/>
    <w:rsid w:val="39E430C3"/>
    <w:rsid w:val="3A5B4645"/>
    <w:rsid w:val="3A6B761A"/>
    <w:rsid w:val="3A943074"/>
    <w:rsid w:val="3A9C468C"/>
    <w:rsid w:val="3ABB49E0"/>
    <w:rsid w:val="3AD6001D"/>
    <w:rsid w:val="3B4A33FA"/>
    <w:rsid w:val="3B5F1BBB"/>
    <w:rsid w:val="3B853F89"/>
    <w:rsid w:val="3B9512B2"/>
    <w:rsid w:val="3B96110D"/>
    <w:rsid w:val="3B994239"/>
    <w:rsid w:val="3BA71957"/>
    <w:rsid w:val="3BE14DC0"/>
    <w:rsid w:val="3BF06001"/>
    <w:rsid w:val="3BFF1830"/>
    <w:rsid w:val="3C00502B"/>
    <w:rsid w:val="3C101F4E"/>
    <w:rsid w:val="3C6A2024"/>
    <w:rsid w:val="3C8D359E"/>
    <w:rsid w:val="3C926E07"/>
    <w:rsid w:val="3CB74ABF"/>
    <w:rsid w:val="3CC66AB0"/>
    <w:rsid w:val="3CE23B77"/>
    <w:rsid w:val="3CF25958"/>
    <w:rsid w:val="3CF31B0E"/>
    <w:rsid w:val="3D0F6D67"/>
    <w:rsid w:val="3D2E2FD3"/>
    <w:rsid w:val="3D385C00"/>
    <w:rsid w:val="3D4F4CF8"/>
    <w:rsid w:val="3D775D79"/>
    <w:rsid w:val="3D864403"/>
    <w:rsid w:val="3D910C89"/>
    <w:rsid w:val="3D9E52D1"/>
    <w:rsid w:val="3DA6700D"/>
    <w:rsid w:val="3DAF5796"/>
    <w:rsid w:val="3DB1150E"/>
    <w:rsid w:val="3DD11BB1"/>
    <w:rsid w:val="3E025B26"/>
    <w:rsid w:val="3E09363A"/>
    <w:rsid w:val="3E1A3557"/>
    <w:rsid w:val="3E1F5936"/>
    <w:rsid w:val="3E481E73"/>
    <w:rsid w:val="3E6A5CCC"/>
    <w:rsid w:val="3E900401"/>
    <w:rsid w:val="3E996B80"/>
    <w:rsid w:val="3EA013EE"/>
    <w:rsid w:val="3EA6303D"/>
    <w:rsid w:val="3ED347F8"/>
    <w:rsid w:val="3EDE6333"/>
    <w:rsid w:val="3EE6709F"/>
    <w:rsid w:val="3F0D20B8"/>
    <w:rsid w:val="3F164112"/>
    <w:rsid w:val="3F34791C"/>
    <w:rsid w:val="3F3F5D32"/>
    <w:rsid w:val="3F4A7442"/>
    <w:rsid w:val="3F4B7D4A"/>
    <w:rsid w:val="3F581688"/>
    <w:rsid w:val="3F656C4A"/>
    <w:rsid w:val="3FB84660"/>
    <w:rsid w:val="3FB93F1B"/>
    <w:rsid w:val="3FC01EDD"/>
    <w:rsid w:val="3FCF78FC"/>
    <w:rsid w:val="3FE91433"/>
    <w:rsid w:val="3FFB2188"/>
    <w:rsid w:val="400C6192"/>
    <w:rsid w:val="4018640F"/>
    <w:rsid w:val="40237B6D"/>
    <w:rsid w:val="4039220B"/>
    <w:rsid w:val="4044523D"/>
    <w:rsid w:val="40521CE2"/>
    <w:rsid w:val="407C22A8"/>
    <w:rsid w:val="411C25A1"/>
    <w:rsid w:val="41326E0A"/>
    <w:rsid w:val="415F5CE4"/>
    <w:rsid w:val="41631670"/>
    <w:rsid w:val="416512B5"/>
    <w:rsid w:val="418036D2"/>
    <w:rsid w:val="419E1DAA"/>
    <w:rsid w:val="41A15E4A"/>
    <w:rsid w:val="41C711CE"/>
    <w:rsid w:val="42044A5E"/>
    <w:rsid w:val="42336996"/>
    <w:rsid w:val="423B03B6"/>
    <w:rsid w:val="42605623"/>
    <w:rsid w:val="426656D4"/>
    <w:rsid w:val="426B4382"/>
    <w:rsid w:val="427017B1"/>
    <w:rsid w:val="4278477D"/>
    <w:rsid w:val="429A6960"/>
    <w:rsid w:val="42A22C46"/>
    <w:rsid w:val="42AB77BA"/>
    <w:rsid w:val="42B35265"/>
    <w:rsid w:val="42B37AD7"/>
    <w:rsid w:val="42C70D4F"/>
    <w:rsid w:val="42CA3A15"/>
    <w:rsid w:val="42FC0536"/>
    <w:rsid w:val="43010F6B"/>
    <w:rsid w:val="432D7889"/>
    <w:rsid w:val="433F2A7E"/>
    <w:rsid w:val="43510159"/>
    <w:rsid w:val="436D4129"/>
    <w:rsid w:val="4378054A"/>
    <w:rsid w:val="43784FA8"/>
    <w:rsid w:val="43911BC6"/>
    <w:rsid w:val="439D67BD"/>
    <w:rsid w:val="43A05439"/>
    <w:rsid w:val="43F314A6"/>
    <w:rsid w:val="440B6BE3"/>
    <w:rsid w:val="44164DD4"/>
    <w:rsid w:val="4420570D"/>
    <w:rsid w:val="443B798E"/>
    <w:rsid w:val="44440224"/>
    <w:rsid w:val="444D1FC9"/>
    <w:rsid w:val="44511355"/>
    <w:rsid w:val="445354F2"/>
    <w:rsid w:val="445945C6"/>
    <w:rsid w:val="447137A5"/>
    <w:rsid w:val="447D5636"/>
    <w:rsid w:val="449A0F4E"/>
    <w:rsid w:val="44DF2091"/>
    <w:rsid w:val="44E96BC0"/>
    <w:rsid w:val="44F248E6"/>
    <w:rsid w:val="45024E0C"/>
    <w:rsid w:val="45045C8D"/>
    <w:rsid w:val="451C65F2"/>
    <w:rsid w:val="456F5F37"/>
    <w:rsid w:val="45765517"/>
    <w:rsid w:val="45A356F9"/>
    <w:rsid w:val="45BD3FA5"/>
    <w:rsid w:val="45C27903"/>
    <w:rsid w:val="45E5215E"/>
    <w:rsid w:val="45E561F9"/>
    <w:rsid w:val="45F41271"/>
    <w:rsid w:val="463B1763"/>
    <w:rsid w:val="46603AD2"/>
    <w:rsid w:val="4670381D"/>
    <w:rsid w:val="46822E6E"/>
    <w:rsid w:val="468E200A"/>
    <w:rsid w:val="46965D88"/>
    <w:rsid w:val="46A50C1B"/>
    <w:rsid w:val="46B06807"/>
    <w:rsid w:val="46B8390E"/>
    <w:rsid w:val="46D70238"/>
    <w:rsid w:val="47095F17"/>
    <w:rsid w:val="47172AA3"/>
    <w:rsid w:val="471C5C4A"/>
    <w:rsid w:val="47226FF4"/>
    <w:rsid w:val="472D5685"/>
    <w:rsid w:val="473A2575"/>
    <w:rsid w:val="474B5370"/>
    <w:rsid w:val="47503A5B"/>
    <w:rsid w:val="476177F4"/>
    <w:rsid w:val="477C07C1"/>
    <w:rsid w:val="477C216E"/>
    <w:rsid w:val="477C436F"/>
    <w:rsid w:val="47835CCA"/>
    <w:rsid w:val="47971204"/>
    <w:rsid w:val="47F765E2"/>
    <w:rsid w:val="48861F15"/>
    <w:rsid w:val="4896156D"/>
    <w:rsid w:val="489C3FAB"/>
    <w:rsid w:val="48B95641"/>
    <w:rsid w:val="48D53CCE"/>
    <w:rsid w:val="48FB6796"/>
    <w:rsid w:val="48FF09FD"/>
    <w:rsid w:val="494476DB"/>
    <w:rsid w:val="494C788A"/>
    <w:rsid w:val="495D1418"/>
    <w:rsid w:val="49CB5DBC"/>
    <w:rsid w:val="4A37714A"/>
    <w:rsid w:val="4A4D0811"/>
    <w:rsid w:val="4A8C4AB7"/>
    <w:rsid w:val="4A8E0642"/>
    <w:rsid w:val="4AD018E1"/>
    <w:rsid w:val="4AE07B67"/>
    <w:rsid w:val="4B050CA9"/>
    <w:rsid w:val="4B071B2B"/>
    <w:rsid w:val="4B265B08"/>
    <w:rsid w:val="4B3D2633"/>
    <w:rsid w:val="4B58121B"/>
    <w:rsid w:val="4B6232EC"/>
    <w:rsid w:val="4B650BC4"/>
    <w:rsid w:val="4B7047B7"/>
    <w:rsid w:val="4B736055"/>
    <w:rsid w:val="4B784C5D"/>
    <w:rsid w:val="4B7A5635"/>
    <w:rsid w:val="4B7E7562"/>
    <w:rsid w:val="4BC744BE"/>
    <w:rsid w:val="4BD31B47"/>
    <w:rsid w:val="4BDB73CE"/>
    <w:rsid w:val="4BE86A43"/>
    <w:rsid w:val="4BFA506D"/>
    <w:rsid w:val="4BFD7410"/>
    <w:rsid w:val="4C1916BC"/>
    <w:rsid w:val="4C245794"/>
    <w:rsid w:val="4C9D15DC"/>
    <w:rsid w:val="4CA85C17"/>
    <w:rsid w:val="4CB2757A"/>
    <w:rsid w:val="4D031FAF"/>
    <w:rsid w:val="4D0D0E37"/>
    <w:rsid w:val="4D1F46E6"/>
    <w:rsid w:val="4D3F2693"/>
    <w:rsid w:val="4D5B7401"/>
    <w:rsid w:val="4D92562F"/>
    <w:rsid w:val="4D9329DF"/>
    <w:rsid w:val="4DB8499E"/>
    <w:rsid w:val="4DCE520C"/>
    <w:rsid w:val="4DF436C9"/>
    <w:rsid w:val="4E0C01AF"/>
    <w:rsid w:val="4E18550E"/>
    <w:rsid w:val="4E287D63"/>
    <w:rsid w:val="4E3A111D"/>
    <w:rsid w:val="4E5B34FC"/>
    <w:rsid w:val="4E5C2779"/>
    <w:rsid w:val="4E683E6B"/>
    <w:rsid w:val="4E916F1E"/>
    <w:rsid w:val="4EB5629F"/>
    <w:rsid w:val="4ECC43FA"/>
    <w:rsid w:val="4EE73F7D"/>
    <w:rsid w:val="4EF46412"/>
    <w:rsid w:val="4F206BFB"/>
    <w:rsid w:val="4F3E697A"/>
    <w:rsid w:val="4F493F95"/>
    <w:rsid w:val="4F69769F"/>
    <w:rsid w:val="4F923CF5"/>
    <w:rsid w:val="4F927EF7"/>
    <w:rsid w:val="4F9C4678"/>
    <w:rsid w:val="4FA2515B"/>
    <w:rsid w:val="4FA62907"/>
    <w:rsid w:val="4FC4707A"/>
    <w:rsid w:val="4FC60E49"/>
    <w:rsid w:val="4FCD1FBF"/>
    <w:rsid w:val="502C3DB9"/>
    <w:rsid w:val="503A7B9B"/>
    <w:rsid w:val="5080105C"/>
    <w:rsid w:val="50830AE8"/>
    <w:rsid w:val="50837920"/>
    <w:rsid w:val="50903205"/>
    <w:rsid w:val="50C1368D"/>
    <w:rsid w:val="50C649A4"/>
    <w:rsid w:val="50CA7A80"/>
    <w:rsid w:val="50D17AA6"/>
    <w:rsid w:val="50E13A61"/>
    <w:rsid w:val="512C7D0E"/>
    <w:rsid w:val="51365407"/>
    <w:rsid w:val="513916E5"/>
    <w:rsid w:val="514A5AAA"/>
    <w:rsid w:val="516A3618"/>
    <w:rsid w:val="5176689F"/>
    <w:rsid w:val="517900DB"/>
    <w:rsid w:val="519859BF"/>
    <w:rsid w:val="521560B8"/>
    <w:rsid w:val="52181D7E"/>
    <w:rsid w:val="5227512A"/>
    <w:rsid w:val="523227C6"/>
    <w:rsid w:val="52380860"/>
    <w:rsid w:val="524F3501"/>
    <w:rsid w:val="525077B1"/>
    <w:rsid w:val="527C0803"/>
    <w:rsid w:val="528943B0"/>
    <w:rsid w:val="529557BB"/>
    <w:rsid w:val="5302568A"/>
    <w:rsid w:val="53057EDB"/>
    <w:rsid w:val="533407C0"/>
    <w:rsid w:val="53461B00"/>
    <w:rsid w:val="5358625C"/>
    <w:rsid w:val="537D605B"/>
    <w:rsid w:val="538650A2"/>
    <w:rsid w:val="53883698"/>
    <w:rsid w:val="53A20C14"/>
    <w:rsid w:val="53B13D08"/>
    <w:rsid w:val="53CC54C9"/>
    <w:rsid w:val="53D60E94"/>
    <w:rsid w:val="540E2DBF"/>
    <w:rsid w:val="541D3002"/>
    <w:rsid w:val="542A5C9F"/>
    <w:rsid w:val="54592C29"/>
    <w:rsid w:val="54BA6AA3"/>
    <w:rsid w:val="54BC281B"/>
    <w:rsid w:val="54DA0EF3"/>
    <w:rsid w:val="54DE09E3"/>
    <w:rsid w:val="54F70BA6"/>
    <w:rsid w:val="55480552"/>
    <w:rsid w:val="555E3CE4"/>
    <w:rsid w:val="55A25EB5"/>
    <w:rsid w:val="55DD04E1"/>
    <w:rsid w:val="55E71B19"/>
    <w:rsid w:val="55FE394D"/>
    <w:rsid w:val="56032090"/>
    <w:rsid w:val="561F74AA"/>
    <w:rsid w:val="56210428"/>
    <w:rsid w:val="56336B0D"/>
    <w:rsid w:val="563A54AB"/>
    <w:rsid w:val="565151E5"/>
    <w:rsid w:val="56786C15"/>
    <w:rsid w:val="56C85727"/>
    <w:rsid w:val="56DE4CCA"/>
    <w:rsid w:val="56F20F94"/>
    <w:rsid w:val="570D55B0"/>
    <w:rsid w:val="57384B5F"/>
    <w:rsid w:val="57435475"/>
    <w:rsid w:val="57550018"/>
    <w:rsid w:val="579C7DA9"/>
    <w:rsid w:val="57C14AAA"/>
    <w:rsid w:val="57D32351"/>
    <w:rsid w:val="57EF4914"/>
    <w:rsid w:val="580764A3"/>
    <w:rsid w:val="58231F11"/>
    <w:rsid w:val="58501C01"/>
    <w:rsid w:val="585127CE"/>
    <w:rsid w:val="586A7FF6"/>
    <w:rsid w:val="58BE1257"/>
    <w:rsid w:val="58C5285E"/>
    <w:rsid w:val="58D15D67"/>
    <w:rsid w:val="58E55FF6"/>
    <w:rsid w:val="58F2231F"/>
    <w:rsid w:val="5905105A"/>
    <w:rsid w:val="590B273A"/>
    <w:rsid w:val="591156C8"/>
    <w:rsid w:val="591F6DA3"/>
    <w:rsid w:val="594E3CA4"/>
    <w:rsid w:val="594F45CB"/>
    <w:rsid w:val="595F7C66"/>
    <w:rsid w:val="59775A81"/>
    <w:rsid w:val="59914276"/>
    <w:rsid w:val="59B30690"/>
    <w:rsid w:val="59C97EB4"/>
    <w:rsid w:val="59E433CA"/>
    <w:rsid w:val="59E904CC"/>
    <w:rsid w:val="59F07E0C"/>
    <w:rsid w:val="5A2A23E0"/>
    <w:rsid w:val="5A421A14"/>
    <w:rsid w:val="5A5701CE"/>
    <w:rsid w:val="5A8E7154"/>
    <w:rsid w:val="5A9A7A80"/>
    <w:rsid w:val="5AA47FD9"/>
    <w:rsid w:val="5AAB580B"/>
    <w:rsid w:val="5AB815FC"/>
    <w:rsid w:val="5AD4523F"/>
    <w:rsid w:val="5AD84127"/>
    <w:rsid w:val="5AF0388F"/>
    <w:rsid w:val="5B1A029B"/>
    <w:rsid w:val="5B294982"/>
    <w:rsid w:val="5B3E21DC"/>
    <w:rsid w:val="5B3E4AFF"/>
    <w:rsid w:val="5B56073F"/>
    <w:rsid w:val="5B687259"/>
    <w:rsid w:val="5B735CCA"/>
    <w:rsid w:val="5B851D8A"/>
    <w:rsid w:val="5B872611"/>
    <w:rsid w:val="5BAB0BC1"/>
    <w:rsid w:val="5BBA413E"/>
    <w:rsid w:val="5BCA2271"/>
    <w:rsid w:val="5BCC5A39"/>
    <w:rsid w:val="5BF07808"/>
    <w:rsid w:val="5BF94C7B"/>
    <w:rsid w:val="5BFF1E2F"/>
    <w:rsid w:val="5C1D6295"/>
    <w:rsid w:val="5C227996"/>
    <w:rsid w:val="5C295C0F"/>
    <w:rsid w:val="5C4512A9"/>
    <w:rsid w:val="5C5B6DBD"/>
    <w:rsid w:val="5C675B6D"/>
    <w:rsid w:val="5C732359"/>
    <w:rsid w:val="5C734262"/>
    <w:rsid w:val="5C79275A"/>
    <w:rsid w:val="5CA20A86"/>
    <w:rsid w:val="5CD61493"/>
    <w:rsid w:val="5D036C59"/>
    <w:rsid w:val="5D137698"/>
    <w:rsid w:val="5D4B0BE0"/>
    <w:rsid w:val="5D677EDE"/>
    <w:rsid w:val="5D6A375C"/>
    <w:rsid w:val="5D8C6F8E"/>
    <w:rsid w:val="5D9E6F62"/>
    <w:rsid w:val="5DC85FFA"/>
    <w:rsid w:val="5E0F60B1"/>
    <w:rsid w:val="5E2A4C99"/>
    <w:rsid w:val="5E3C4FEE"/>
    <w:rsid w:val="5E6006BB"/>
    <w:rsid w:val="5E8D407E"/>
    <w:rsid w:val="5E8E4B64"/>
    <w:rsid w:val="5E9D4B5E"/>
    <w:rsid w:val="5EDF5A84"/>
    <w:rsid w:val="5EEA2EAA"/>
    <w:rsid w:val="5EF77454"/>
    <w:rsid w:val="5F004051"/>
    <w:rsid w:val="5F064FAB"/>
    <w:rsid w:val="5F192F04"/>
    <w:rsid w:val="5F2931A3"/>
    <w:rsid w:val="5F2E4915"/>
    <w:rsid w:val="5F3B6A32"/>
    <w:rsid w:val="5F3F649A"/>
    <w:rsid w:val="5F8E3006"/>
    <w:rsid w:val="5FBC4732"/>
    <w:rsid w:val="5FE404A5"/>
    <w:rsid w:val="5FE62E42"/>
    <w:rsid w:val="5FF36B71"/>
    <w:rsid w:val="5FF53085"/>
    <w:rsid w:val="60086A5A"/>
    <w:rsid w:val="60202042"/>
    <w:rsid w:val="602551F7"/>
    <w:rsid w:val="6045400C"/>
    <w:rsid w:val="60584EF1"/>
    <w:rsid w:val="60800B18"/>
    <w:rsid w:val="608763D3"/>
    <w:rsid w:val="60877AD2"/>
    <w:rsid w:val="60A76A75"/>
    <w:rsid w:val="60A96349"/>
    <w:rsid w:val="60B71B8D"/>
    <w:rsid w:val="60BD5766"/>
    <w:rsid w:val="60C07B37"/>
    <w:rsid w:val="60C22C79"/>
    <w:rsid w:val="60CC7752"/>
    <w:rsid w:val="60EB3E1D"/>
    <w:rsid w:val="6105554A"/>
    <w:rsid w:val="61066395"/>
    <w:rsid w:val="610B47A6"/>
    <w:rsid w:val="612260FC"/>
    <w:rsid w:val="612A39D8"/>
    <w:rsid w:val="61367E07"/>
    <w:rsid w:val="61492271"/>
    <w:rsid w:val="616C65B8"/>
    <w:rsid w:val="616F09CD"/>
    <w:rsid w:val="616F70BD"/>
    <w:rsid w:val="617D7E6A"/>
    <w:rsid w:val="6182292A"/>
    <w:rsid w:val="61837DF5"/>
    <w:rsid w:val="618A0ACD"/>
    <w:rsid w:val="61A3723C"/>
    <w:rsid w:val="61CA3580"/>
    <w:rsid w:val="61F7383C"/>
    <w:rsid w:val="620F3A24"/>
    <w:rsid w:val="624A3B5C"/>
    <w:rsid w:val="624B272F"/>
    <w:rsid w:val="624B51DE"/>
    <w:rsid w:val="62652744"/>
    <w:rsid w:val="62662018"/>
    <w:rsid w:val="626F1C43"/>
    <w:rsid w:val="626F647D"/>
    <w:rsid w:val="62804BE4"/>
    <w:rsid w:val="62894684"/>
    <w:rsid w:val="62A72D5C"/>
    <w:rsid w:val="62CE7985"/>
    <w:rsid w:val="630164A7"/>
    <w:rsid w:val="630737FB"/>
    <w:rsid w:val="631167A4"/>
    <w:rsid w:val="632E258D"/>
    <w:rsid w:val="633D0D72"/>
    <w:rsid w:val="63715118"/>
    <w:rsid w:val="637349EC"/>
    <w:rsid w:val="637F322E"/>
    <w:rsid w:val="638B48F6"/>
    <w:rsid w:val="63CA7D37"/>
    <w:rsid w:val="63D062E3"/>
    <w:rsid w:val="63E66ED4"/>
    <w:rsid w:val="641900B0"/>
    <w:rsid w:val="6447573E"/>
    <w:rsid w:val="645667E8"/>
    <w:rsid w:val="645F045A"/>
    <w:rsid w:val="646F78AA"/>
    <w:rsid w:val="64822C81"/>
    <w:rsid w:val="64A65F71"/>
    <w:rsid w:val="652254BA"/>
    <w:rsid w:val="652D4E4D"/>
    <w:rsid w:val="653363A1"/>
    <w:rsid w:val="65360603"/>
    <w:rsid w:val="65566C6B"/>
    <w:rsid w:val="655820EC"/>
    <w:rsid w:val="655967AF"/>
    <w:rsid w:val="656C78BC"/>
    <w:rsid w:val="658729D1"/>
    <w:rsid w:val="658B0713"/>
    <w:rsid w:val="65B71909"/>
    <w:rsid w:val="65B80DDC"/>
    <w:rsid w:val="65EE0CA2"/>
    <w:rsid w:val="6603474E"/>
    <w:rsid w:val="66432563"/>
    <w:rsid w:val="664C0376"/>
    <w:rsid w:val="66501015"/>
    <w:rsid w:val="66551508"/>
    <w:rsid w:val="665A00E6"/>
    <w:rsid w:val="667271DD"/>
    <w:rsid w:val="667E3989"/>
    <w:rsid w:val="668234AF"/>
    <w:rsid w:val="66C15EB8"/>
    <w:rsid w:val="66D60CC8"/>
    <w:rsid w:val="67184229"/>
    <w:rsid w:val="6723438B"/>
    <w:rsid w:val="674256D2"/>
    <w:rsid w:val="674C320E"/>
    <w:rsid w:val="678103AF"/>
    <w:rsid w:val="67875AB5"/>
    <w:rsid w:val="678A39DD"/>
    <w:rsid w:val="67A23AF2"/>
    <w:rsid w:val="67A755AC"/>
    <w:rsid w:val="67C25F5F"/>
    <w:rsid w:val="681C5653"/>
    <w:rsid w:val="681D13CB"/>
    <w:rsid w:val="682A6913"/>
    <w:rsid w:val="68494705"/>
    <w:rsid w:val="68673434"/>
    <w:rsid w:val="686F52C0"/>
    <w:rsid w:val="68851A64"/>
    <w:rsid w:val="68B166E3"/>
    <w:rsid w:val="68CF0917"/>
    <w:rsid w:val="68FB170C"/>
    <w:rsid w:val="691A439F"/>
    <w:rsid w:val="691B21AC"/>
    <w:rsid w:val="69373CFD"/>
    <w:rsid w:val="693D7F76"/>
    <w:rsid w:val="69794D27"/>
    <w:rsid w:val="69796882"/>
    <w:rsid w:val="698C0F6B"/>
    <w:rsid w:val="6A0171F6"/>
    <w:rsid w:val="6A0942FC"/>
    <w:rsid w:val="6A0A62AA"/>
    <w:rsid w:val="6A3771F7"/>
    <w:rsid w:val="6A3E4B93"/>
    <w:rsid w:val="6A793EE8"/>
    <w:rsid w:val="6A8A4544"/>
    <w:rsid w:val="6A912C9C"/>
    <w:rsid w:val="6A933BC6"/>
    <w:rsid w:val="6A962AC7"/>
    <w:rsid w:val="6A9811DC"/>
    <w:rsid w:val="6AC8183B"/>
    <w:rsid w:val="6B00125C"/>
    <w:rsid w:val="6B3453A9"/>
    <w:rsid w:val="6B64241E"/>
    <w:rsid w:val="6B6C069F"/>
    <w:rsid w:val="6B7E4876"/>
    <w:rsid w:val="6B7F4930"/>
    <w:rsid w:val="6BC339B8"/>
    <w:rsid w:val="6BE753CC"/>
    <w:rsid w:val="6BF2525D"/>
    <w:rsid w:val="6C165C79"/>
    <w:rsid w:val="6C1B5927"/>
    <w:rsid w:val="6C406F9D"/>
    <w:rsid w:val="6C4B7D82"/>
    <w:rsid w:val="6C727B57"/>
    <w:rsid w:val="6C7C31D1"/>
    <w:rsid w:val="6C860CAC"/>
    <w:rsid w:val="6C9003BD"/>
    <w:rsid w:val="6CA9147F"/>
    <w:rsid w:val="6CBC7832"/>
    <w:rsid w:val="6CC67436"/>
    <w:rsid w:val="6CDA5ADC"/>
    <w:rsid w:val="6D3671B7"/>
    <w:rsid w:val="6D396CA7"/>
    <w:rsid w:val="6D5C2995"/>
    <w:rsid w:val="6D9E4D5C"/>
    <w:rsid w:val="6DAD473E"/>
    <w:rsid w:val="6DAE5815"/>
    <w:rsid w:val="6DC84087"/>
    <w:rsid w:val="6DFF3A4C"/>
    <w:rsid w:val="6E0077C5"/>
    <w:rsid w:val="6E0B2643"/>
    <w:rsid w:val="6E221B61"/>
    <w:rsid w:val="6E4C7A0A"/>
    <w:rsid w:val="6E5D739C"/>
    <w:rsid w:val="6E602011"/>
    <w:rsid w:val="6E6D0A51"/>
    <w:rsid w:val="6ED60BA5"/>
    <w:rsid w:val="6EE90D5D"/>
    <w:rsid w:val="6EF55333"/>
    <w:rsid w:val="6EFE795B"/>
    <w:rsid w:val="6F093AAD"/>
    <w:rsid w:val="6F2474E3"/>
    <w:rsid w:val="6F377437"/>
    <w:rsid w:val="6F8A09AF"/>
    <w:rsid w:val="6F8F7052"/>
    <w:rsid w:val="6F987EA6"/>
    <w:rsid w:val="6FA31D84"/>
    <w:rsid w:val="6FAF3250"/>
    <w:rsid w:val="6FB203BD"/>
    <w:rsid w:val="6FBB1BF5"/>
    <w:rsid w:val="6FBB3B89"/>
    <w:rsid w:val="6FC52A74"/>
    <w:rsid w:val="6FE0340A"/>
    <w:rsid w:val="700510C2"/>
    <w:rsid w:val="700C71B2"/>
    <w:rsid w:val="701344FB"/>
    <w:rsid w:val="7020414E"/>
    <w:rsid w:val="70366D4F"/>
    <w:rsid w:val="70384FF4"/>
    <w:rsid w:val="704B572F"/>
    <w:rsid w:val="70510247"/>
    <w:rsid w:val="707522D7"/>
    <w:rsid w:val="7077143B"/>
    <w:rsid w:val="7089502D"/>
    <w:rsid w:val="708F4D65"/>
    <w:rsid w:val="70903082"/>
    <w:rsid w:val="709866F7"/>
    <w:rsid w:val="709B47C5"/>
    <w:rsid w:val="70A95EF1"/>
    <w:rsid w:val="70B200DC"/>
    <w:rsid w:val="70C94562"/>
    <w:rsid w:val="713F6451"/>
    <w:rsid w:val="71467BE4"/>
    <w:rsid w:val="715F7B43"/>
    <w:rsid w:val="716D3CED"/>
    <w:rsid w:val="719D3B89"/>
    <w:rsid w:val="71AB5C99"/>
    <w:rsid w:val="71BA2FF5"/>
    <w:rsid w:val="720F447A"/>
    <w:rsid w:val="721F5463"/>
    <w:rsid w:val="723A5A34"/>
    <w:rsid w:val="726C289A"/>
    <w:rsid w:val="727E34E7"/>
    <w:rsid w:val="72AB54AD"/>
    <w:rsid w:val="72DB0CEA"/>
    <w:rsid w:val="72FF004B"/>
    <w:rsid w:val="73130814"/>
    <w:rsid w:val="73142AD7"/>
    <w:rsid w:val="733B0348"/>
    <w:rsid w:val="733F0D8F"/>
    <w:rsid w:val="734939BC"/>
    <w:rsid w:val="73520AC2"/>
    <w:rsid w:val="738F5872"/>
    <w:rsid w:val="73940149"/>
    <w:rsid w:val="740473D5"/>
    <w:rsid w:val="74281823"/>
    <w:rsid w:val="74550B3B"/>
    <w:rsid w:val="746565D3"/>
    <w:rsid w:val="747024D6"/>
    <w:rsid w:val="74735DB2"/>
    <w:rsid w:val="74827185"/>
    <w:rsid w:val="7494593A"/>
    <w:rsid w:val="749B1616"/>
    <w:rsid w:val="74A708B4"/>
    <w:rsid w:val="74AB60CD"/>
    <w:rsid w:val="74AE5F9B"/>
    <w:rsid w:val="74C834BE"/>
    <w:rsid w:val="74FC6F38"/>
    <w:rsid w:val="750E0EA6"/>
    <w:rsid w:val="751A40A6"/>
    <w:rsid w:val="75217F5A"/>
    <w:rsid w:val="755328D0"/>
    <w:rsid w:val="7587738B"/>
    <w:rsid w:val="759E1D9D"/>
    <w:rsid w:val="75AE24C5"/>
    <w:rsid w:val="75F24BBC"/>
    <w:rsid w:val="7607118B"/>
    <w:rsid w:val="760A36E1"/>
    <w:rsid w:val="762F3CA5"/>
    <w:rsid w:val="76711DB0"/>
    <w:rsid w:val="769456D1"/>
    <w:rsid w:val="769B452E"/>
    <w:rsid w:val="76A63631"/>
    <w:rsid w:val="76FD33E8"/>
    <w:rsid w:val="76FF1C95"/>
    <w:rsid w:val="77031A35"/>
    <w:rsid w:val="770657B2"/>
    <w:rsid w:val="77080071"/>
    <w:rsid w:val="772B0621"/>
    <w:rsid w:val="77391EDD"/>
    <w:rsid w:val="77471FC0"/>
    <w:rsid w:val="77644920"/>
    <w:rsid w:val="77913325"/>
    <w:rsid w:val="77B22134"/>
    <w:rsid w:val="77BA4E88"/>
    <w:rsid w:val="77BB312B"/>
    <w:rsid w:val="77C70E30"/>
    <w:rsid w:val="77D76B7D"/>
    <w:rsid w:val="78051ED9"/>
    <w:rsid w:val="78085BF3"/>
    <w:rsid w:val="78397B5B"/>
    <w:rsid w:val="783C1225"/>
    <w:rsid w:val="783E5A5F"/>
    <w:rsid w:val="78601005"/>
    <w:rsid w:val="78812E54"/>
    <w:rsid w:val="78F63C9E"/>
    <w:rsid w:val="78FC3FBC"/>
    <w:rsid w:val="79053EE1"/>
    <w:rsid w:val="7908577F"/>
    <w:rsid w:val="792C4CC9"/>
    <w:rsid w:val="793922D8"/>
    <w:rsid w:val="793A002E"/>
    <w:rsid w:val="794373B1"/>
    <w:rsid w:val="79477B19"/>
    <w:rsid w:val="79607369"/>
    <w:rsid w:val="79764DDF"/>
    <w:rsid w:val="79910EBB"/>
    <w:rsid w:val="79B44A86"/>
    <w:rsid w:val="79C557DB"/>
    <w:rsid w:val="79C97604"/>
    <w:rsid w:val="79FC3536"/>
    <w:rsid w:val="7A283826"/>
    <w:rsid w:val="7A6A4509"/>
    <w:rsid w:val="7A8B4BA3"/>
    <w:rsid w:val="7B1F4582"/>
    <w:rsid w:val="7B222FB8"/>
    <w:rsid w:val="7B3D3E06"/>
    <w:rsid w:val="7B553884"/>
    <w:rsid w:val="7B566C76"/>
    <w:rsid w:val="7B684DCB"/>
    <w:rsid w:val="7B70014C"/>
    <w:rsid w:val="7B7B048A"/>
    <w:rsid w:val="7B861B2E"/>
    <w:rsid w:val="7BB80B60"/>
    <w:rsid w:val="7BB85A2F"/>
    <w:rsid w:val="7BF01A56"/>
    <w:rsid w:val="7C0C44D2"/>
    <w:rsid w:val="7C126F81"/>
    <w:rsid w:val="7C266648"/>
    <w:rsid w:val="7C2B3C5E"/>
    <w:rsid w:val="7C2C579D"/>
    <w:rsid w:val="7C3123F5"/>
    <w:rsid w:val="7C683105"/>
    <w:rsid w:val="7C865339"/>
    <w:rsid w:val="7CC52470"/>
    <w:rsid w:val="7CC75021"/>
    <w:rsid w:val="7CF20C20"/>
    <w:rsid w:val="7D007610"/>
    <w:rsid w:val="7D2012E9"/>
    <w:rsid w:val="7D21405B"/>
    <w:rsid w:val="7D4F7E21"/>
    <w:rsid w:val="7D5338FC"/>
    <w:rsid w:val="7D931DC4"/>
    <w:rsid w:val="7DC055DB"/>
    <w:rsid w:val="7DC35447"/>
    <w:rsid w:val="7DE642E1"/>
    <w:rsid w:val="7DEF61B9"/>
    <w:rsid w:val="7DF804B8"/>
    <w:rsid w:val="7E024E93"/>
    <w:rsid w:val="7E092F04"/>
    <w:rsid w:val="7E2A58C2"/>
    <w:rsid w:val="7E370FE0"/>
    <w:rsid w:val="7E60325B"/>
    <w:rsid w:val="7E6A05FD"/>
    <w:rsid w:val="7EAD3051"/>
    <w:rsid w:val="7EB42631"/>
    <w:rsid w:val="7EEA60C1"/>
    <w:rsid w:val="7F1E3F4E"/>
    <w:rsid w:val="7F34107C"/>
    <w:rsid w:val="7F4B21C7"/>
    <w:rsid w:val="7F5157D5"/>
    <w:rsid w:val="7F563F8B"/>
    <w:rsid w:val="7F5D4E56"/>
    <w:rsid w:val="7F7D0C75"/>
    <w:rsid w:val="7F9107FE"/>
    <w:rsid w:val="7FB6390C"/>
    <w:rsid w:val="7FDB0E38"/>
    <w:rsid w:val="7FFD591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qFormat="1" w:uiPriority="99" w:semiHidden="0" w:name="macro"/>
    <w:lsdException w:uiPriority="99" w:name="toa heading"/>
    <w:lsdException w:qFormat="1" w:unhideWhenUsed="0"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99" w:semiHidden="0" w:name="Body Text First Indent"/>
    <w:lsdException w:qFormat="1" w:unhideWhenUsed="0" w:uiPriority="99"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00" w:lineRule="exact"/>
      <w:jc w:val="both"/>
    </w:pPr>
    <w:rPr>
      <w:rFonts w:ascii="Calibri" w:hAnsi="Calibri" w:eastAsia="宋体" w:cs="Calibri"/>
      <w:kern w:val="2"/>
      <w:sz w:val="21"/>
      <w:szCs w:val="21"/>
      <w:lang w:val="en-US" w:eastAsia="zh-CN" w:bidi="ar-SA"/>
    </w:rPr>
  </w:style>
  <w:style w:type="paragraph" w:styleId="3">
    <w:name w:val="heading 1"/>
    <w:basedOn w:val="1"/>
    <w:next w:val="1"/>
    <w:link w:val="52"/>
    <w:qFormat/>
    <w:uiPriority w:val="0"/>
    <w:pPr>
      <w:keepNext/>
      <w:keepLines/>
      <w:spacing w:before="340" w:after="330" w:line="576" w:lineRule="auto"/>
      <w:jc w:val="left"/>
      <w:outlineLvl w:val="0"/>
    </w:pPr>
    <w:rPr>
      <w:rFonts w:eastAsia="黑体"/>
      <w:kern w:val="44"/>
      <w:sz w:val="44"/>
      <w:szCs w:val="44"/>
    </w:rPr>
  </w:style>
  <w:style w:type="paragraph" w:styleId="4">
    <w:name w:val="heading 2"/>
    <w:basedOn w:val="1"/>
    <w:next w:val="1"/>
    <w:link w:val="53"/>
    <w:qFormat/>
    <w:uiPriority w:val="0"/>
    <w:pPr>
      <w:keepNext/>
      <w:keepLines/>
      <w:spacing w:before="260" w:after="260" w:line="415" w:lineRule="auto"/>
      <w:jc w:val="left"/>
      <w:outlineLvl w:val="1"/>
    </w:pPr>
    <w:rPr>
      <w:rFonts w:ascii="Cambria" w:hAnsi="Cambria" w:eastAsia="黑体" w:cs="Cambria"/>
      <w:kern w:val="0"/>
      <w:sz w:val="32"/>
      <w:szCs w:val="32"/>
    </w:rPr>
  </w:style>
  <w:style w:type="paragraph" w:styleId="5">
    <w:name w:val="heading 3"/>
    <w:basedOn w:val="1"/>
    <w:next w:val="1"/>
    <w:link w:val="54"/>
    <w:qFormat/>
    <w:uiPriority w:val="0"/>
    <w:pPr>
      <w:keepNext/>
      <w:keepLines/>
      <w:spacing w:before="260" w:after="260" w:line="415" w:lineRule="auto"/>
      <w:outlineLvl w:val="2"/>
    </w:pPr>
    <w:rPr>
      <w:rFonts w:eastAsia="黑体"/>
      <w:kern w:val="0"/>
      <w:sz w:val="32"/>
      <w:szCs w:val="32"/>
    </w:rPr>
  </w:style>
  <w:style w:type="paragraph" w:styleId="6">
    <w:name w:val="heading 4"/>
    <w:basedOn w:val="1"/>
    <w:next w:val="1"/>
    <w:link w:val="55"/>
    <w:qFormat/>
    <w:uiPriority w:val="0"/>
    <w:pPr>
      <w:keepNext/>
      <w:keepLines/>
      <w:spacing w:before="280" w:after="290" w:line="374" w:lineRule="auto"/>
      <w:outlineLvl w:val="3"/>
    </w:pPr>
    <w:rPr>
      <w:rFonts w:ascii="Cambria" w:hAnsi="Cambria" w:cs="Cambria"/>
      <w:kern w:val="0"/>
      <w:sz w:val="28"/>
      <w:szCs w:val="28"/>
    </w:rPr>
  </w:style>
  <w:style w:type="paragraph" w:styleId="7">
    <w:name w:val="heading 5"/>
    <w:basedOn w:val="1"/>
    <w:next w:val="1"/>
    <w:link w:val="56"/>
    <w:qFormat/>
    <w:uiPriority w:val="0"/>
    <w:pPr>
      <w:keepNext/>
      <w:keepLines/>
      <w:spacing w:before="280" w:after="290" w:line="372" w:lineRule="auto"/>
      <w:outlineLvl w:val="4"/>
    </w:pPr>
    <w:rPr>
      <w:rFonts w:ascii="Times New Roman" w:hAnsi="Times New Roman" w:cs="Times New Roman"/>
      <w:b/>
      <w:bCs/>
      <w:kern w:val="0"/>
      <w:sz w:val="24"/>
      <w:szCs w:val="24"/>
    </w:rPr>
  </w:style>
  <w:style w:type="paragraph" w:styleId="8">
    <w:name w:val="heading 6"/>
    <w:basedOn w:val="1"/>
    <w:next w:val="1"/>
    <w:link w:val="57"/>
    <w:qFormat/>
    <w:uiPriority w:val="0"/>
    <w:pPr>
      <w:keepNext/>
      <w:keepLines/>
      <w:spacing w:before="240" w:after="64" w:line="317" w:lineRule="auto"/>
      <w:outlineLvl w:val="5"/>
    </w:pPr>
    <w:rPr>
      <w:rFonts w:ascii="Arial" w:hAnsi="Arial" w:eastAsia="黑体" w:cs="Arial"/>
      <w:b/>
      <w:bCs/>
      <w:kern w:val="0"/>
      <w:sz w:val="24"/>
      <w:szCs w:val="24"/>
    </w:rPr>
  </w:style>
  <w:style w:type="paragraph" w:styleId="9">
    <w:name w:val="heading 7"/>
    <w:basedOn w:val="1"/>
    <w:next w:val="1"/>
    <w:link w:val="58"/>
    <w:qFormat/>
    <w:uiPriority w:val="0"/>
    <w:pPr>
      <w:keepNext/>
      <w:keepLines/>
      <w:spacing w:before="240" w:after="64" w:line="320" w:lineRule="auto"/>
      <w:outlineLvl w:val="6"/>
    </w:pPr>
    <w:rPr>
      <w:rFonts w:ascii="Times New Roman" w:hAnsi="Times New Roman" w:cs="Times New Roman"/>
      <w:b/>
      <w:bCs/>
      <w:kern w:val="0"/>
      <w:sz w:val="24"/>
      <w:szCs w:val="24"/>
    </w:rPr>
  </w:style>
  <w:style w:type="paragraph" w:styleId="10">
    <w:name w:val="heading 8"/>
    <w:basedOn w:val="1"/>
    <w:next w:val="1"/>
    <w:link w:val="59"/>
    <w:qFormat/>
    <w:uiPriority w:val="0"/>
    <w:pPr>
      <w:keepNext/>
      <w:keepLines/>
      <w:spacing w:before="240" w:after="64" w:line="320" w:lineRule="auto"/>
      <w:outlineLvl w:val="7"/>
    </w:pPr>
    <w:rPr>
      <w:rFonts w:ascii="Cambria" w:hAnsi="Cambria" w:cs="Cambria"/>
      <w:kern w:val="0"/>
      <w:sz w:val="24"/>
      <w:szCs w:val="24"/>
    </w:rPr>
  </w:style>
  <w:style w:type="paragraph" w:styleId="11">
    <w:name w:val="heading 9"/>
    <w:basedOn w:val="1"/>
    <w:next w:val="1"/>
    <w:link w:val="60"/>
    <w:qFormat/>
    <w:uiPriority w:val="0"/>
    <w:pPr>
      <w:keepNext/>
      <w:keepLines/>
      <w:spacing w:before="240" w:after="64" w:line="320" w:lineRule="auto"/>
      <w:outlineLvl w:val="8"/>
    </w:pPr>
    <w:rPr>
      <w:rFonts w:ascii="Cambria" w:hAnsi="Cambria" w:cs="Cambria"/>
      <w:kern w:val="0"/>
    </w:rPr>
  </w:style>
  <w:style w:type="character" w:default="1" w:styleId="44">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styleId="2">
    <w:name w:val="macro"/>
    <w:link w:val="65"/>
    <w:unhideWhenUsed/>
    <w:qFormat/>
    <w:uiPriority w:val="9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line="400" w:lineRule="exact"/>
    </w:pPr>
    <w:rPr>
      <w:rFonts w:ascii="Courier New" w:hAnsi="Courier New" w:eastAsia="宋体" w:cs="Courier New"/>
      <w:kern w:val="2"/>
      <w:sz w:val="24"/>
      <w:szCs w:val="24"/>
      <w:lang w:val="en-US" w:eastAsia="zh-CN" w:bidi="ar-SA"/>
    </w:rPr>
  </w:style>
  <w:style w:type="paragraph" w:styleId="12">
    <w:name w:val="toc 7"/>
    <w:basedOn w:val="1"/>
    <w:next w:val="1"/>
    <w:qFormat/>
    <w:uiPriority w:val="39"/>
    <w:pPr>
      <w:ind w:left="1260"/>
      <w:jc w:val="left"/>
    </w:pPr>
    <w:rPr>
      <w:sz w:val="18"/>
      <w:szCs w:val="18"/>
    </w:rPr>
  </w:style>
  <w:style w:type="paragraph" w:styleId="13">
    <w:name w:val="Normal Indent"/>
    <w:basedOn w:val="1"/>
    <w:link w:val="61"/>
    <w:qFormat/>
    <w:uiPriority w:val="0"/>
    <w:pPr>
      <w:ind w:firstLine="420" w:firstLineChars="200"/>
    </w:pPr>
  </w:style>
  <w:style w:type="paragraph" w:styleId="14">
    <w:name w:val="caption"/>
    <w:basedOn w:val="1"/>
    <w:next w:val="1"/>
    <w:unhideWhenUsed/>
    <w:qFormat/>
    <w:uiPriority w:val="0"/>
    <w:rPr>
      <w:rFonts w:ascii="Arial" w:hAnsi="Arial" w:eastAsia="黑体" w:cs="Arial"/>
      <w:sz w:val="20"/>
      <w:szCs w:val="20"/>
    </w:rPr>
  </w:style>
  <w:style w:type="paragraph" w:styleId="15">
    <w:name w:val="Document Map"/>
    <w:basedOn w:val="1"/>
    <w:link w:val="75"/>
    <w:qFormat/>
    <w:uiPriority w:val="0"/>
    <w:pPr>
      <w:shd w:val="clear" w:color="auto" w:fill="000080"/>
    </w:pPr>
    <w:rPr>
      <w:rFonts w:ascii="Times New Roman" w:hAnsi="Times New Roman" w:cs="Times New Roman"/>
      <w:kern w:val="0"/>
      <w:sz w:val="24"/>
      <w:szCs w:val="24"/>
    </w:rPr>
  </w:style>
  <w:style w:type="paragraph" w:styleId="16">
    <w:name w:val="annotation text"/>
    <w:basedOn w:val="1"/>
    <w:link w:val="62"/>
    <w:qFormat/>
    <w:uiPriority w:val="0"/>
    <w:pPr>
      <w:jc w:val="left"/>
    </w:pPr>
    <w:rPr>
      <w:rFonts w:ascii="Times New Roman" w:hAnsi="Times New Roman" w:cs="Times New Roman"/>
      <w:kern w:val="0"/>
      <w:sz w:val="24"/>
      <w:szCs w:val="24"/>
    </w:rPr>
  </w:style>
  <w:style w:type="paragraph" w:styleId="17">
    <w:name w:val="Body Text"/>
    <w:basedOn w:val="1"/>
    <w:link w:val="67"/>
    <w:qFormat/>
    <w:uiPriority w:val="99"/>
    <w:pPr>
      <w:spacing w:after="120"/>
    </w:pPr>
    <w:rPr>
      <w:kern w:val="0"/>
      <w:sz w:val="20"/>
      <w:szCs w:val="20"/>
    </w:rPr>
  </w:style>
  <w:style w:type="paragraph" w:styleId="18">
    <w:name w:val="Body Text Indent"/>
    <w:basedOn w:val="1"/>
    <w:link w:val="68"/>
    <w:qFormat/>
    <w:uiPriority w:val="0"/>
    <w:pPr>
      <w:spacing w:after="120"/>
      <w:ind w:left="420" w:leftChars="200"/>
    </w:pPr>
    <w:rPr>
      <w:kern w:val="0"/>
      <w:sz w:val="20"/>
      <w:szCs w:val="20"/>
    </w:rPr>
  </w:style>
  <w:style w:type="paragraph" w:styleId="19">
    <w:name w:val="toc 5"/>
    <w:basedOn w:val="1"/>
    <w:next w:val="1"/>
    <w:qFormat/>
    <w:uiPriority w:val="39"/>
    <w:pPr>
      <w:ind w:left="840"/>
      <w:jc w:val="left"/>
    </w:pPr>
    <w:rPr>
      <w:sz w:val="18"/>
      <w:szCs w:val="18"/>
    </w:rPr>
  </w:style>
  <w:style w:type="paragraph" w:styleId="20">
    <w:name w:val="toc 3"/>
    <w:basedOn w:val="1"/>
    <w:next w:val="1"/>
    <w:qFormat/>
    <w:uiPriority w:val="39"/>
    <w:pPr>
      <w:ind w:left="420"/>
      <w:jc w:val="left"/>
    </w:pPr>
    <w:rPr>
      <w:i/>
      <w:iCs/>
      <w:sz w:val="20"/>
      <w:szCs w:val="20"/>
    </w:rPr>
  </w:style>
  <w:style w:type="paragraph" w:styleId="21">
    <w:name w:val="Plain Text"/>
    <w:basedOn w:val="1"/>
    <w:link w:val="76"/>
    <w:qFormat/>
    <w:uiPriority w:val="99"/>
    <w:rPr>
      <w:rFonts w:ascii="宋体" w:hAnsi="Courier New" w:cs="宋体"/>
      <w:kern w:val="0"/>
      <w:sz w:val="28"/>
      <w:szCs w:val="28"/>
    </w:rPr>
  </w:style>
  <w:style w:type="paragraph" w:styleId="22">
    <w:name w:val="toc 8"/>
    <w:basedOn w:val="1"/>
    <w:next w:val="1"/>
    <w:qFormat/>
    <w:uiPriority w:val="39"/>
    <w:pPr>
      <w:ind w:left="1470"/>
      <w:jc w:val="left"/>
    </w:pPr>
    <w:rPr>
      <w:sz w:val="18"/>
      <w:szCs w:val="18"/>
    </w:rPr>
  </w:style>
  <w:style w:type="paragraph" w:styleId="23">
    <w:name w:val="Date"/>
    <w:basedOn w:val="1"/>
    <w:next w:val="1"/>
    <w:link w:val="70"/>
    <w:qFormat/>
    <w:uiPriority w:val="0"/>
    <w:pPr>
      <w:ind w:left="100" w:leftChars="2500"/>
    </w:pPr>
    <w:rPr>
      <w:rFonts w:ascii="Times New Roman" w:hAnsi="Times New Roman" w:cs="Times New Roman"/>
      <w:kern w:val="0"/>
      <w:sz w:val="24"/>
      <w:szCs w:val="24"/>
    </w:rPr>
  </w:style>
  <w:style w:type="paragraph" w:styleId="24">
    <w:name w:val="Body Text Indent 2"/>
    <w:basedOn w:val="1"/>
    <w:link w:val="74"/>
    <w:qFormat/>
    <w:uiPriority w:val="0"/>
    <w:pPr>
      <w:spacing w:after="120" w:line="480" w:lineRule="auto"/>
      <w:ind w:left="420" w:leftChars="200"/>
    </w:pPr>
    <w:rPr>
      <w:rFonts w:ascii="Times New Roman" w:hAnsi="Times New Roman" w:cs="Times New Roman"/>
      <w:kern w:val="0"/>
      <w:sz w:val="24"/>
      <w:szCs w:val="24"/>
    </w:rPr>
  </w:style>
  <w:style w:type="paragraph" w:styleId="25">
    <w:name w:val="Balloon Text"/>
    <w:basedOn w:val="1"/>
    <w:link w:val="78"/>
    <w:qFormat/>
    <w:uiPriority w:val="0"/>
    <w:rPr>
      <w:rFonts w:ascii="Times New Roman" w:hAnsi="Times New Roman" w:cs="Times New Roman"/>
      <w:kern w:val="0"/>
      <w:sz w:val="24"/>
      <w:szCs w:val="24"/>
    </w:rPr>
  </w:style>
  <w:style w:type="paragraph" w:styleId="26">
    <w:name w:val="footer"/>
    <w:basedOn w:val="1"/>
    <w:link w:val="64"/>
    <w:qFormat/>
    <w:uiPriority w:val="99"/>
    <w:pPr>
      <w:tabs>
        <w:tab w:val="center" w:pos="4153"/>
        <w:tab w:val="right" w:pos="8306"/>
      </w:tabs>
      <w:snapToGrid w:val="0"/>
      <w:ind w:firstLine="540"/>
      <w:jc w:val="left"/>
    </w:pPr>
    <w:rPr>
      <w:rFonts w:ascii="Cambria" w:hAnsi="Cambria"/>
      <w:sz w:val="18"/>
      <w:szCs w:val="18"/>
    </w:rPr>
  </w:style>
  <w:style w:type="paragraph" w:styleId="27">
    <w:name w:val="header"/>
    <w:basedOn w:val="1"/>
    <w:link w:val="63"/>
    <w:qFormat/>
    <w:uiPriority w:val="0"/>
    <w:pPr>
      <w:pBdr>
        <w:bottom w:val="single" w:color="auto" w:sz="6" w:space="1"/>
      </w:pBdr>
      <w:tabs>
        <w:tab w:val="center" w:pos="4153"/>
        <w:tab w:val="right" w:pos="8306"/>
      </w:tabs>
      <w:snapToGrid w:val="0"/>
      <w:jc w:val="center"/>
    </w:pPr>
    <w:rPr>
      <w:kern w:val="0"/>
      <w:sz w:val="18"/>
      <w:szCs w:val="18"/>
    </w:rPr>
  </w:style>
  <w:style w:type="paragraph" w:styleId="28">
    <w:name w:val="toc 1"/>
    <w:basedOn w:val="1"/>
    <w:next w:val="1"/>
    <w:qFormat/>
    <w:uiPriority w:val="39"/>
    <w:pPr>
      <w:spacing w:before="120" w:after="120"/>
      <w:jc w:val="left"/>
    </w:pPr>
    <w:rPr>
      <w:b/>
      <w:bCs/>
      <w:caps/>
      <w:sz w:val="20"/>
      <w:szCs w:val="20"/>
    </w:rPr>
  </w:style>
  <w:style w:type="paragraph" w:styleId="29">
    <w:name w:val="toc 4"/>
    <w:basedOn w:val="1"/>
    <w:next w:val="1"/>
    <w:qFormat/>
    <w:uiPriority w:val="39"/>
    <w:pPr>
      <w:ind w:left="630"/>
      <w:jc w:val="left"/>
    </w:pPr>
    <w:rPr>
      <w:sz w:val="18"/>
      <w:szCs w:val="18"/>
    </w:rPr>
  </w:style>
  <w:style w:type="paragraph" w:styleId="30">
    <w:name w:val="Subtitle"/>
    <w:basedOn w:val="1"/>
    <w:next w:val="1"/>
    <w:link w:val="69"/>
    <w:qFormat/>
    <w:uiPriority w:val="0"/>
    <w:pPr>
      <w:spacing w:before="240" w:after="60" w:line="312" w:lineRule="auto"/>
      <w:jc w:val="center"/>
      <w:outlineLvl w:val="1"/>
    </w:pPr>
    <w:rPr>
      <w:rFonts w:ascii="Cambria" w:hAnsi="Cambria" w:cs="Cambria"/>
      <w:b/>
      <w:bCs/>
      <w:kern w:val="28"/>
      <w:sz w:val="32"/>
      <w:szCs w:val="32"/>
    </w:rPr>
  </w:style>
  <w:style w:type="paragraph" w:styleId="31">
    <w:name w:val="List"/>
    <w:basedOn w:val="1"/>
    <w:qFormat/>
    <w:uiPriority w:val="99"/>
    <w:pPr>
      <w:ind w:left="200" w:hanging="200" w:hangingChars="200"/>
    </w:pPr>
    <w:rPr>
      <w:rFonts w:ascii="Times New Roman" w:hAnsi="Times New Roman" w:cs="Times New Roman"/>
    </w:rPr>
  </w:style>
  <w:style w:type="paragraph" w:styleId="32">
    <w:name w:val="toc 6"/>
    <w:basedOn w:val="1"/>
    <w:next w:val="1"/>
    <w:qFormat/>
    <w:uiPriority w:val="39"/>
    <w:pPr>
      <w:ind w:left="1050"/>
      <w:jc w:val="left"/>
    </w:pPr>
    <w:rPr>
      <w:sz w:val="18"/>
      <w:szCs w:val="18"/>
    </w:rPr>
  </w:style>
  <w:style w:type="paragraph" w:styleId="33">
    <w:name w:val="toc 2"/>
    <w:basedOn w:val="1"/>
    <w:next w:val="1"/>
    <w:qFormat/>
    <w:uiPriority w:val="39"/>
    <w:pPr>
      <w:ind w:left="210"/>
      <w:jc w:val="left"/>
    </w:pPr>
    <w:rPr>
      <w:smallCaps/>
      <w:sz w:val="20"/>
      <w:szCs w:val="20"/>
    </w:rPr>
  </w:style>
  <w:style w:type="paragraph" w:styleId="34">
    <w:name w:val="toc 9"/>
    <w:basedOn w:val="1"/>
    <w:next w:val="1"/>
    <w:qFormat/>
    <w:uiPriority w:val="39"/>
    <w:pPr>
      <w:ind w:left="1680"/>
      <w:jc w:val="left"/>
    </w:pPr>
    <w:rPr>
      <w:sz w:val="18"/>
      <w:szCs w:val="18"/>
    </w:rPr>
  </w:style>
  <w:style w:type="paragraph" w:styleId="35">
    <w:name w:val="Body Text 2"/>
    <w:basedOn w:val="1"/>
    <w:link w:val="73"/>
    <w:qFormat/>
    <w:uiPriority w:val="0"/>
    <w:pPr>
      <w:spacing w:line="360" w:lineRule="auto"/>
      <w:ind w:firstLine="200" w:firstLineChars="200"/>
    </w:pPr>
    <w:rPr>
      <w:rFonts w:ascii="Times New Roman" w:hAnsi="Times New Roman" w:cs="Times New Roman"/>
      <w:kern w:val="0"/>
    </w:rPr>
  </w:style>
  <w:style w:type="paragraph" w:styleId="36">
    <w:name w:val="Normal (Web)"/>
    <w:basedOn w:val="1"/>
    <w:qFormat/>
    <w:uiPriority w:val="0"/>
    <w:pPr>
      <w:widowControl/>
      <w:spacing w:before="100" w:beforeAutospacing="1" w:after="100" w:afterAutospacing="1"/>
      <w:jc w:val="left"/>
    </w:pPr>
    <w:rPr>
      <w:rFonts w:ascii="宋体" w:hAnsi="宋体" w:cs="Times New Roman"/>
      <w:kern w:val="0"/>
      <w:sz w:val="24"/>
      <w:szCs w:val="24"/>
    </w:rPr>
  </w:style>
  <w:style w:type="paragraph" w:styleId="37">
    <w:name w:val="index 1"/>
    <w:basedOn w:val="4"/>
    <w:next w:val="1"/>
    <w:semiHidden/>
    <w:qFormat/>
    <w:uiPriority w:val="99"/>
    <w:pPr>
      <w:keepNext w:val="0"/>
      <w:keepLines w:val="0"/>
      <w:spacing w:before="0" w:after="0" w:line="240" w:lineRule="auto"/>
      <w:ind w:left="210" w:hanging="210"/>
      <w:outlineLvl w:val="9"/>
    </w:pPr>
    <w:rPr>
      <w:rFonts w:ascii="Times New Roman" w:hAnsi="Times New Roman" w:eastAsia="宋体" w:cs="Times New Roman"/>
      <w:kern w:val="2"/>
      <w:sz w:val="20"/>
      <w:szCs w:val="20"/>
      <w:lang w:val="zh-CN"/>
    </w:rPr>
  </w:style>
  <w:style w:type="paragraph" w:styleId="38">
    <w:name w:val="Title"/>
    <w:basedOn w:val="1"/>
    <w:next w:val="1"/>
    <w:link w:val="66"/>
    <w:qFormat/>
    <w:uiPriority w:val="0"/>
    <w:pPr>
      <w:spacing w:before="240" w:after="60"/>
      <w:jc w:val="center"/>
      <w:outlineLvl w:val="0"/>
    </w:pPr>
    <w:rPr>
      <w:rFonts w:ascii="Cambria" w:hAnsi="Cambria" w:cs="Cambria"/>
      <w:b/>
      <w:bCs/>
      <w:kern w:val="0"/>
      <w:sz w:val="32"/>
      <w:szCs w:val="32"/>
    </w:rPr>
  </w:style>
  <w:style w:type="paragraph" w:styleId="39">
    <w:name w:val="annotation subject"/>
    <w:basedOn w:val="16"/>
    <w:next w:val="16"/>
    <w:link w:val="77"/>
    <w:qFormat/>
    <w:uiPriority w:val="0"/>
    <w:rPr>
      <w:b/>
      <w:bCs/>
    </w:rPr>
  </w:style>
  <w:style w:type="paragraph" w:styleId="40">
    <w:name w:val="Body Text First Indent"/>
    <w:basedOn w:val="17"/>
    <w:link w:val="71"/>
    <w:qFormat/>
    <w:uiPriority w:val="99"/>
    <w:pPr>
      <w:ind w:firstLine="420" w:firstLineChars="100"/>
    </w:pPr>
    <w:rPr>
      <w:kern w:val="2"/>
      <w:sz w:val="21"/>
      <w:szCs w:val="21"/>
    </w:rPr>
  </w:style>
  <w:style w:type="paragraph" w:styleId="41">
    <w:name w:val="Body Text First Indent 2"/>
    <w:basedOn w:val="18"/>
    <w:link w:val="72"/>
    <w:qFormat/>
    <w:uiPriority w:val="99"/>
    <w:pPr>
      <w:ind w:firstLine="420" w:firstLineChars="200"/>
    </w:pPr>
  </w:style>
  <w:style w:type="table" w:styleId="43">
    <w:name w:val="Table Grid"/>
    <w:basedOn w:val="42"/>
    <w:qFormat/>
    <w:uiPriority w:val="59"/>
    <w:rPr>
      <w:rFonts w:cs="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tcPr>
      <w:tcBorders>
        <w:top w:val="single" w:color="000000" w:sz="4" w:space="0"/>
        <w:left w:val="single" w:color="000000" w:sz="4" w:space="0"/>
        <w:bottom w:val="single" w:color="000000" w:sz="4" w:space="0"/>
        <w:right w:val="single" w:color="000000" w:sz="4" w:space="0"/>
      </w:tcBorders>
    </w:tcPr>
  </w:style>
  <w:style w:type="character" w:styleId="45">
    <w:name w:val="Strong"/>
    <w:basedOn w:val="44"/>
    <w:qFormat/>
    <w:uiPriority w:val="0"/>
    <w:rPr>
      <w:b/>
      <w:bCs/>
    </w:rPr>
  </w:style>
  <w:style w:type="character" w:styleId="46">
    <w:name w:val="page number"/>
    <w:basedOn w:val="44"/>
    <w:qFormat/>
    <w:uiPriority w:val="0"/>
    <w:rPr>
      <w:rFonts w:ascii="Times New Roman" w:hAnsi="Times New Roman" w:eastAsia="宋体" w:cs="Times New Roman"/>
      <w:sz w:val="18"/>
      <w:szCs w:val="18"/>
    </w:rPr>
  </w:style>
  <w:style w:type="character" w:styleId="47">
    <w:name w:val="FollowedHyperlink"/>
    <w:basedOn w:val="44"/>
    <w:qFormat/>
    <w:uiPriority w:val="0"/>
    <w:rPr>
      <w:color w:val="800080"/>
      <w:u w:val="single"/>
    </w:rPr>
  </w:style>
  <w:style w:type="character" w:styleId="48">
    <w:name w:val="Emphasis"/>
    <w:basedOn w:val="44"/>
    <w:qFormat/>
    <w:uiPriority w:val="20"/>
    <w:rPr>
      <w:rFonts w:ascii="Calibri" w:hAnsi="Calibri" w:cs="Times New Roman"/>
      <w:b/>
      <w:i/>
      <w:iCs/>
    </w:rPr>
  </w:style>
  <w:style w:type="character" w:styleId="49">
    <w:name w:val="Hyperlink"/>
    <w:basedOn w:val="44"/>
    <w:qFormat/>
    <w:uiPriority w:val="99"/>
    <w:rPr>
      <w:color w:val="0000FF"/>
      <w:u w:val="single"/>
    </w:rPr>
  </w:style>
  <w:style w:type="character" w:styleId="50">
    <w:name w:val="annotation reference"/>
    <w:basedOn w:val="44"/>
    <w:qFormat/>
    <w:uiPriority w:val="0"/>
    <w:rPr>
      <w:sz w:val="21"/>
      <w:szCs w:val="21"/>
    </w:rPr>
  </w:style>
  <w:style w:type="paragraph" w:customStyle="1" w:styleId="51">
    <w:name w:val="正文（首行缩进两字）"/>
    <w:basedOn w:val="1"/>
    <w:qFormat/>
    <w:uiPriority w:val="0"/>
    <w:pPr>
      <w:adjustRightInd w:val="0"/>
      <w:snapToGrid w:val="0"/>
      <w:spacing w:line="480" w:lineRule="atLeast"/>
      <w:ind w:firstLine="420"/>
    </w:pPr>
    <w:rPr>
      <w:rFonts w:ascii="Times New Roman" w:hAnsi="Times New Roman"/>
      <w:sz w:val="28"/>
      <w:szCs w:val="20"/>
    </w:rPr>
  </w:style>
  <w:style w:type="character" w:customStyle="1" w:styleId="52">
    <w:name w:val="标题 1 Char"/>
    <w:basedOn w:val="44"/>
    <w:link w:val="3"/>
    <w:qFormat/>
    <w:uiPriority w:val="0"/>
    <w:rPr>
      <w:rFonts w:ascii="Calibri" w:hAnsi="Calibri" w:eastAsia="黑体" w:cs="Calibri"/>
      <w:kern w:val="44"/>
      <w:sz w:val="44"/>
      <w:szCs w:val="44"/>
    </w:rPr>
  </w:style>
  <w:style w:type="character" w:customStyle="1" w:styleId="53">
    <w:name w:val="标题 2 Char"/>
    <w:basedOn w:val="44"/>
    <w:link w:val="4"/>
    <w:qFormat/>
    <w:uiPriority w:val="0"/>
    <w:rPr>
      <w:rFonts w:ascii="Cambria" w:hAnsi="Cambria" w:eastAsia="黑体" w:cs="Cambria"/>
      <w:sz w:val="32"/>
      <w:szCs w:val="32"/>
    </w:rPr>
  </w:style>
  <w:style w:type="character" w:customStyle="1" w:styleId="54">
    <w:name w:val="标题 3 Char"/>
    <w:basedOn w:val="44"/>
    <w:link w:val="5"/>
    <w:qFormat/>
    <w:uiPriority w:val="0"/>
    <w:rPr>
      <w:rFonts w:ascii="Calibri" w:hAnsi="Calibri" w:eastAsia="黑体" w:cs="Calibri"/>
      <w:sz w:val="32"/>
      <w:szCs w:val="32"/>
    </w:rPr>
  </w:style>
  <w:style w:type="character" w:customStyle="1" w:styleId="55">
    <w:name w:val="标题 4 Char"/>
    <w:basedOn w:val="44"/>
    <w:link w:val="6"/>
    <w:qFormat/>
    <w:uiPriority w:val="0"/>
    <w:rPr>
      <w:rFonts w:ascii="Cambria" w:hAnsi="Cambria" w:eastAsia="宋体" w:cs="Cambria"/>
      <w:sz w:val="28"/>
      <w:szCs w:val="28"/>
    </w:rPr>
  </w:style>
  <w:style w:type="character" w:customStyle="1" w:styleId="56">
    <w:name w:val="标题 5 Char"/>
    <w:basedOn w:val="44"/>
    <w:link w:val="7"/>
    <w:qFormat/>
    <w:uiPriority w:val="0"/>
    <w:rPr>
      <w:b/>
      <w:bCs/>
      <w:sz w:val="24"/>
      <w:szCs w:val="24"/>
    </w:rPr>
  </w:style>
  <w:style w:type="character" w:customStyle="1" w:styleId="57">
    <w:name w:val="标题 6 Char"/>
    <w:basedOn w:val="44"/>
    <w:link w:val="8"/>
    <w:qFormat/>
    <w:uiPriority w:val="0"/>
    <w:rPr>
      <w:rFonts w:ascii="Arial" w:hAnsi="Arial" w:eastAsia="黑体" w:cs="Arial"/>
      <w:b/>
      <w:bCs/>
      <w:sz w:val="24"/>
      <w:szCs w:val="24"/>
    </w:rPr>
  </w:style>
  <w:style w:type="character" w:customStyle="1" w:styleId="58">
    <w:name w:val="标题 7 Char"/>
    <w:basedOn w:val="44"/>
    <w:link w:val="9"/>
    <w:qFormat/>
    <w:uiPriority w:val="0"/>
    <w:rPr>
      <w:rFonts w:ascii="Times New Roman" w:hAnsi="Times New Roman" w:eastAsia="宋体" w:cs="Times New Roman"/>
      <w:b/>
      <w:bCs/>
      <w:sz w:val="24"/>
      <w:szCs w:val="24"/>
    </w:rPr>
  </w:style>
  <w:style w:type="character" w:customStyle="1" w:styleId="59">
    <w:name w:val="标题 8 Char"/>
    <w:basedOn w:val="44"/>
    <w:link w:val="10"/>
    <w:qFormat/>
    <w:uiPriority w:val="0"/>
    <w:rPr>
      <w:rFonts w:ascii="Cambria" w:hAnsi="Cambria" w:eastAsia="宋体" w:cs="Cambria"/>
      <w:sz w:val="24"/>
      <w:szCs w:val="24"/>
    </w:rPr>
  </w:style>
  <w:style w:type="character" w:customStyle="1" w:styleId="60">
    <w:name w:val="标题 9 Char"/>
    <w:basedOn w:val="44"/>
    <w:link w:val="11"/>
    <w:qFormat/>
    <w:uiPriority w:val="0"/>
    <w:rPr>
      <w:rFonts w:ascii="Cambria" w:hAnsi="Cambria" w:eastAsia="宋体" w:cs="Cambria"/>
      <w:sz w:val="21"/>
      <w:szCs w:val="21"/>
    </w:rPr>
  </w:style>
  <w:style w:type="character" w:customStyle="1" w:styleId="61">
    <w:name w:val="正文缩进 Char"/>
    <w:basedOn w:val="44"/>
    <w:link w:val="13"/>
    <w:qFormat/>
    <w:locked/>
    <w:uiPriority w:val="0"/>
    <w:rPr>
      <w:rFonts w:ascii="Calibri" w:hAnsi="Calibri" w:cs="Calibri"/>
      <w:kern w:val="2"/>
      <w:sz w:val="21"/>
      <w:szCs w:val="21"/>
    </w:rPr>
  </w:style>
  <w:style w:type="character" w:customStyle="1" w:styleId="62">
    <w:name w:val="批注文字 Char"/>
    <w:basedOn w:val="44"/>
    <w:link w:val="16"/>
    <w:qFormat/>
    <w:uiPriority w:val="0"/>
    <w:rPr>
      <w:sz w:val="24"/>
      <w:szCs w:val="24"/>
    </w:rPr>
  </w:style>
  <w:style w:type="character" w:customStyle="1" w:styleId="63">
    <w:name w:val="页眉 Char"/>
    <w:basedOn w:val="44"/>
    <w:link w:val="27"/>
    <w:qFormat/>
    <w:uiPriority w:val="0"/>
    <w:rPr>
      <w:rFonts w:ascii="Calibri" w:hAnsi="Calibri" w:eastAsia="宋体" w:cs="Calibri"/>
      <w:sz w:val="18"/>
      <w:szCs w:val="18"/>
    </w:rPr>
  </w:style>
  <w:style w:type="character" w:customStyle="1" w:styleId="64">
    <w:name w:val="页脚 Char"/>
    <w:basedOn w:val="44"/>
    <w:link w:val="26"/>
    <w:qFormat/>
    <w:uiPriority w:val="99"/>
    <w:rPr>
      <w:rFonts w:ascii="Cambria" w:hAnsi="Cambria" w:cs="Calibri"/>
      <w:kern w:val="2"/>
      <w:sz w:val="18"/>
      <w:szCs w:val="18"/>
    </w:rPr>
  </w:style>
  <w:style w:type="character" w:customStyle="1" w:styleId="65">
    <w:name w:val="宏文本 Char"/>
    <w:basedOn w:val="44"/>
    <w:link w:val="2"/>
    <w:qFormat/>
    <w:uiPriority w:val="99"/>
    <w:rPr>
      <w:rFonts w:ascii="Courier New" w:hAnsi="Courier New" w:cs="Courier New"/>
      <w:kern w:val="2"/>
      <w:sz w:val="24"/>
      <w:szCs w:val="24"/>
    </w:rPr>
  </w:style>
  <w:style w:type="character" w:customStyle="1" w:styleId="66">
    <w:name w:val="标题 Char"/>
    <w:basedOn w:val="44"/>
    <w:link w:val="38"/>
    <w:qFormat/>
    <w:uiPriority w:val="0"/>
    <w:rPr>
      <w:rFonts w:ascii="Cambria" w:hAnsi="Cambria" w:eastAsia="宋体" w:cs="Cambria"/>
      <w:b/>
      <w:bCs/>
      <w:sz w:val="32"/>
      <w:szCs w:val="32"/>
    </w:rPr>
  </w:style>
  <w:style w:type="character" w:customStyle="1" w:styleId="67">
    <w:name w:val="正文文本 Char"/>
    <w:basedOn w:val="44"/>
    <w:link w:val="17"/>
    <w:qFormat/>
    <w:uiPriority w:val="99"/>
    <w:rPr>
      <w:rFonts w:ascii="Calibri" w:hAnsi="Calibri" w:eastAsia="宋体" w:cs="Calibri"/>
    </w:rPr>
  </w:style>
  <w:style w:type="character" w:customStyle="1" w:styleId="68">
    <w:name w:val="正文文本缩进 Char"/>
    <w:basedOn w:val="44"/>
    <w:link w:val="18"/>
    <w:qFormat/>
    <w:uiPriority w:val="0"/>
    <w:rPr>
      <w:rFonts w:ascii="Calibri" w:hAnsi="Calibri" w:eastAsia="宋体" w:cs="Calibri"/>
    </w:rPr>
  </w:style>
  <w:style w:type="character" w:customStyle="1" w:styleId="69">
    <w:name w:val="副标题 Char"/>
    <w:basedOn w:val="44"/>
    <w:link w:val="30"/>
    <w:qFormat/>
    <w:uiPriority w:val="0"/>
    <w:rPr>
      <w:rFonts w:ascii="Cambria" w:hAnsi="Cambria" w:eastAsia="宋体" w:cs="Cambria"/>
      <w:b/>
      <w:bCs/>
      <w:kern w:val="28"/>
      <w:sz w:val="32"/>
      <w:szCs w:val="32"/>
    </w:rPr>
  </w:style>
  <w:style w:type="character" w:customStyle="1" w:styleId="70">
    <w:name w:val="日期 Char"/>
    <w:basedOn w:val="44"/>
    <w:link w:val="23"/>
    <w:qFormat/>
    <w:uiPriority w:val="0"/>
    <w:rPr>
      <w:sz w:val="24"/>
      <w:szCs w:val="24"/>
    </w:rPr>
  </w:style>
  <w:style w:type="character" w:customStyle="1" w:styleId="71">
    <w:name w:val="正文首行缩进 Char"/>
    <w:basedOn w:val="67"/>
    <w:link w:val="40"/>
    <w:qFormat/>
    <w:uiPriority w:val="99"/>
    <w:rPr>
      <w:kern w:val="2"/>
      <w:sz w:val="21"/>
      <w:szCs w:val="21"/>
    </w:rPr>
  </w:style>
  <w:style w:type="character" w:customStyle="1" w:styleId="72">
    <w:name w:val="正文首行缩进 2 Char"/>
    <w:basedOn w:val="68"/>
    <w:link w:val="41"/>
    <w:qFormat/>
    <w:uiPriority w:val="99"/>
  </w:style>
  <w:style w:type="character" w:customStyle="1" w:styleId="73">
    <w:name w:val="正文文本 2 Char"/>
    <w:basedOn w:val="44"/>
    <w:link w:val="35"/>
    <w:qFormat/>
    <w:uiPriority w:val="0"/>
    <w:rPr>
      <w:sz w:val="21"/>
      <w:szCs w:val="21"/>
    </w:rPr>
  </w:style>
  <w:style w:type="character" w:customStyle="1" w:styleId="74">
    <w:name w:val="正文文本缩进 2 Char"/>
    <w:basedOn w:val="44"/>
    <w:link w:val="24"/>
    <w:qFormat/>
    <w:uiPriority w:val="0"/>
    <w:rPr>
      <w:sz w:val="24"/>
      <w:szCs w:val="24"/>
    </w:rPr>
  </w:style>
  <w:style w:type="character" w:customStyle="1" w:styleId="75">
    <w:name w:val="文档结构图 Char"/>
    <w:basedOn w:val="44"/>
    <w:link w:val="15"/>
    <w:qFormat/>
    <w:uiPriority w:val="0"/>
    <w:rPr>
      <w:sz w:val="24"/>
      <w:szCs w:val="24"/>
      <w:shd w:val="clear" w:color="auto" w:fill="000080"/>
    </w:rPr>
  </w:style>
  <w:style w:type="character" w:customStyle="1" w:styleId="76">
    <w:name w:val="纯文本 Char"/>
    <w:basedOn w:val="44"/>
    <w:link w:val="21"/>
    <w:qFormat/>
    <w:uiPriority w:val="99"/>
    <w:rPr>
      <w:rFonts w:ascii="宋体" w:hAnsi="Courier New" w:eastAsia="宋体" w:cs="宋体"/>
      <w:sz w:val="28"/>
      <w:szCs w:val="28"/>
    </w:rPr>
  </w:style>
  <w:style w:type="character" w:customStyle="1" w:styleId="77">
    <w:name w:val="批注主题 Char"/>
    <w:basedOn w:val="62"/>
    <w:link w:val="39"/>
    <w:qFormat/>
    <w:uiPriority w:val="0"/>
    <w:rPr>
      <w:b/>
      <w:bCs/>
    </w:rPr>
  </w:style>
  <w:style w:type="character" w:customStyle="1" w:styleId="78">
    <w:name w:val="批注框文本 Char"/>
    <w:basedOn w:val="44"/>
    <w:link w:val="25"/>
    <w:qFormat/>
    <w:uiPriority w:val="0"/>
    <w:rPr>
      <w:sz w:val="24"/>
      <w:szCs w:val="24"/>
    </w:rPr>
  </w:style>
  <w:style w:type="paragraph" w:styleId="79">
    <w:name w:val="No Spacing"/>
    <w:link w:val="80"/>
    <w:qFormat/>
    <w:uiPriority w:val="1"/>
    <w:pPr>
      <w:spacing w:line="400" w:lineRule="exact"/>
    </w:pPr>
    <w:rPr>
      <w:rFonts w:ascii="Calibri" w:hAnsi="Calibri" w:eastAsia="宋体" w:cs="Times New Roman"/>
      <w:sz w:val="22"/>
      <w:szCs w:val="22"/>
      <w:lang w:val="en-US" w:eastAsia="zh-CN" w:bidi="ar-SA"/>
    </w:rPr>
  </w:style>
  <w:style w:type="character" w:customStyle="1" w:styleId="80">
    <w:name w:val="无间隔 Char"/>
    <w:basedOn w:val="44"/>
    <w:link w:val="79"/>
    <w:qFormat/>
    <w:uiPriority w:val="1"/>
    <w:rPr>
      <w:rFonts w:ascii="Calibri" w:hAnsi="Calibri"/>
      <w:sz w:val="22"/>
      <w:szCs w:val="22"/>
    </w:rPr>
  </w:style>
  <w:style w:type="paragraph" w:styleId="81">
    <w:name w:val="List Paragraph"/>
    <w:basedOn w:val="1"/>
    <w:unhideWhenUsed/>
    <w:qFormat/>
    <w:uiPriority w:val="1"/>
    <w:pPr>
      <w:ind w:firstLine="420" w:firstLineChars="200"/>
    </w:pPr>
  </w:style>
  <w:style w:type="paragraph" w:customStyle="1" w:styleId="82">
    <w:name w:val="Char Char Char2 Char Char Char Char Char Char Char Char Char Char Char Char Char Char Char Char Char Char Char Char Char Char Char Char Char Char Char Char Char Char Char Char Char Char Char Char Char"/>
    <w:basedOn w:val="1"/>
    <w:next w:val="2"/>
    <w:qFormat/>
    <w:uiPriority w:val="0"/>
    <w:rPr>
      <w:sz w:val="28"/>
      <w:szCs w:val="28"/>
    </w:rPr>
  </w:style>
  <w:style w:type="character" w:customStyle="1" w:styleId="83">
    <w:name w:val="纯文本 Char1"/>
    <w:basedOn w:val="44"/>
    <w:qFormat/>
    <w:uiPriority w:val="99"/>
    <w:rPr>
      <w:rFonts w:ascii="宋体" w:hAnsi="Courier New" w:eastAsia="宋体" w:cs="宋体"/>
      <w:sz w:val="21"/>
      <w:szCs w:val="21"/>
    </w:rPr>
  </w:style>
  <w:style w:type="paragraph" w:customStyle="1" w:styleId="84">
    <w:name w:val="样式 宋体 四号"/>
    <w:basedOn w:val="1"/>
    <w:qFormat/>
    <w:uiPriority w:val="99"/>
    <w:pPr>
      <w:ind w:firstLine="200" w:firstLineChars="200"/>
    </w:pPr>
    <w:rPr>
      <w:rFonts w:ascii="宋体" w:hAnsi="宋体" w:cs="宋体"/>
      <w:sz w:val="28"/>
      <w:szCs w:val="28"/>
    </w:rPr>
  </w:style>
  <w:style w:type="paragraph" w:customStyle="1" w:styleId="85">
    <w:name w:val="表格文字"/>
    <w:basedOn w:val="1"/>
    <w:qFormat/>
    <w:uiPriority w:val="99"/>
    <w:pPr>
      <w:adjustRightInd w:val="0"/>
      <w:snapToGrid w:val="0"/>
      <w:spacing w:line="160" w:lineRule="atLeast"/>
      <w:jc w:val="center"/>
    </w:pPr>
    <w:rPr>
      <w:rFonts w:ascii="Times New Roman" w:hAnsi="Times New Roman" w:cs="Times New Roman"/>
      <w:kern w:val="0"/>
      <w:sz w:val="18"/>
      <w:szCs w:val="18"/>
    </w:rPr>
  </w:style>
  <w:style w:type="character" w:customStyle="1" w:styleId="86">
    <w:name w:val="msoplaceholdertext"/>
    <w:basedOn w:val="44"/>
    <w:qFormat/>
    <w:uiPriority w:val="99"/>
    <w:rPr>
      <w:color w:val="808080"/>
    </w:rPr>
  </w:style>
  <w:style w:type="paragraph" w:customStyle="1" w:styleId="87">
    <w:name w:val="a正文"/>
    <w:basedOn w:val="1"/>
    <w:qFormat/>
    <w:uiPriority w:val="99"/>
    <w:pPr>
      <w:ind w:firstLine="200" w:firstLineChars="200"/>
    </w:pPr>
    <w:rPr>
      <w:rFonts w:ascii="Times New Roman" w:hAnsi="Times New Roman" w:cs="Times New Roman"/>
      <w:sz w:val="24"/>
      <w:szCs w:val="24"/>
    </w:rPr>
  </w:style>
  <w:style w:type="paragraph" w:customStyle="1" w:styleId="88">
    <w:name w:val="msolistparagraph"/>
    <w:basedOn w:val="1"/>
    <w:qFormat/>
    <w:uiPriority w:val="99"/>
    <w:pPr>
      <w:ind w:firstLine="420" w:firstLineChars="200"/>
    </w:pPr>
  </w:style>
  <w:style w:type="character" w:customStyle="1" w:styleId="89">
    <w:name w:val="正文文本缩进 Char1"/>
    <w:basedOn w:val="44"/>
    <w:qFormat/>
    <w:uiPriority w:val="99"/>
    <w:rPr>
      <w:rFonts w:ascii="Calibri" w:hAnsi="Calibri" w:eastAsia="宋体" w:cs="Calibri"/>
    </w:rPr>
  </w:style>
  <w:style w:type="paragraph" w:customStyle="1" w:styleId="90">
    <w:name w:val="十矿"/>
    <w:basedOn w:val="1"/>
    <w:link w:val="91"/>
    <w:qFormat/>
    <w:uiPriority w:val="99"/>
    <w:pPr>
      <w:spacing w:line="540" w:lineRule="exact"/>
      <w:ind w:firstLine="560" w:firstLineChars="200"/>
    </w:pPr>
    <w:rPr>
      <w:rFonts w:ascii="宋体" w:hAnsi="宋体" w:cs="宋体"/>
      <w:sz w:val="28"/>
      <w:szCs w:val="28"/>
    </w:rPr>
  </w:style>
  <w:style w:type="character" w:customStyle="1" w:styleId="91">
    <w:name w:val="十矿 Char Char"/>
    <w:basedOn w:val="44"/>
    <w:link w:val="90"/>
    <w:qFormat/>
    <w:locked/>
    <w:uiPriority w:val="99"/>
    <w:rPr>
      <w:rFonts w:ascii="宋体" w:hAnsi="宋体" w:cs="宋体"/>
      <w:kern w:val="2"/>
      <w:sz w:val="28"/>
      <w:szCs w:val="28"/>
    </w:rPr>
  </w:style>
  <w:style w:type="paragraph" w:customStyle="1" w:styleId="92">
    <w:name w:val="样式1"/>
    <w:basedOn w:val="1"/>
    <w:qFormat/>
    <w:uiPriority w:val="0"/>
    <w:pPr>
      <w:spacing w:line="360" w:lineRule="auto"/>
      <w:ind w:firstLine="480" w:firstLineChars="200"/>
    </w:pPr>
    <w:rPr>
      <w:rFonts w:ascii="宋体" w:hAnsi="宋体" w:cs="宋体"/>
      <w:sz w:val="24"/>
      <w:szCs w:val="24"/>
    </w:rPr>
  </w:style>
  <w:style w:type="paragraph" w:customStyle="1" w:styleId="93">
    <w:name w:val="图标标题"/>
    <w:basedOn w:val="1"/>
    <w:link w:val="94"/>
    <w:qFormat/>
    <w:uiPriority w:val="99"/>
    <w:pPr>
      <w:spacing w:line="360" w:lineRule="auto"/>
      <w:jc w:val="center"/>
    </w:pPr>
    <w:rPr>
      <w:rFonts w:ascii="Times New Roman" w:hAnsi="Times New Roman" w:eastAsia="黑体" w:cs="Times New Roman"/>
      <w:sz w:val="24"/>
      <w:szCs w:val="24"/>
    </w:rPr>
  </w:style>
  <w:style w:type="character" w:customStyle="1" w:styleId="94">
    <w:name w:val="图标标题 Char Char"/>
    <w:basedOn w:val="44"/>
    <w:link w:val="93"/>
    <w:qFormat/>
    <w:locked/>
    <w:uiPriority w:val="99"/>
    <w:rPr>
      <w:rFonts w:eastAsia="黑体"/>
      <w:kern w:val="2"/>
      <w:sz w:val="24"/>
      <w:szCs w:val="24"/>
    </w:rPr>
  </w:style>
  <w:style w:type="character" w:customStyle="1" w:styleId="95">
    <w:name w:val="正文文本缩进 2 Char1"/>
    <w:basedOn w:val="44"/>
    <w:qFormat/>
    <w:uiPriority w:val="99"/>
    <w:rPr>
      <w:rFonts w:ascii="Calibri" w:hAnsi="Calibri" w:eastAsia="宋体" w:cs="Calibri"/>
    </w:rPr>
  </w:style>
  <w:style w:type="character" w:customStyle="1" w:styleId="96">
    <w:name w:val="批注文字 Char1"/>
    <w:basedOn w:val="44"/>
    <w:qFormat/>
    <w:uiPriority w:val="99"/>
    <w:rPr>
      <w:rFonts w:ascii="Calibri" w:hAnsi="Calibri" w:eastAsia="宋体" w:cs="Calibri"/>
    </w:rPr>
  </w:style>
  <w:style w:type="character" w:customStyle="1" w:styleId="97">
    <w:name w:val="日期 Char1"/>
    <w:basedOn w:val="44"/>
    <w:qFormat/>
    <w:uiPriority w:val="99"/>
    <w:rPr>
      <w:rFonts w:ascii="Calibri" w:hAnsi="Calibri" w:eastAsia="宋体" w:cs="Calibri"/>
    </w:rPr>
  </w:style>
  <w:style w:type="character" w:customStyle="1" w:styleId="98">
    <w:name w:val="批注主题 Char1"/>
    <w:basedOn w:val="96"/>
    <w:qFormat/>
    <w:uiPriority w:val="99"/>
    <w:rPr>
      <w:b/>
      <w:bCs/>
    </w:rPr>
  </w:style>
  <w:style w:type="character" w:customStyle="1" w:styleId="99">
    <w:name w:val="正文首行缩进 2 Char1"/>
    <w:basedOn w:val="89"/>
    <w:qFormat/>
    <w:uiPriority w:val="99"/>
  </w:style>
  <w:style w:type="character" w:customStyle="1" w:styleId="100">
    <w:name w:val="text-lmdh"/>
    <w:basedOn w:val="44"/>
    <w:qFormat/>
    <w:uiPriority w:val="99"/>
  </w:style>
  <w:style w:type="paragraph" w:customStyle="1" w:styleId="101">
    <w:name w:val="List Paragraph1"/>
    <w:basedOn w:val="1"/>
    <w:qFormat/>
    <w:uiPriority w:val="99"/>
    <w:pPr>
      <w:ind w:firstLine="420" w:firstLineChars="200"/>
    </w:pPr>
  </w:style>
  <w:style w:type="paragraph" w:customStyle="1" w:styleId="102">
    <w:name w:val="表标题"/>
    <w:basedOn w:val="1"/>
    <w:link w:val="103"/>
    <w:qFormat/>
    <w:uiPriority w:val="99"/>
    <w:pPr>
      <w:jc w:val="center"/>
    </w:pPr>
    <w:rPr>
      <w:rFonts w:ascii="Times New Roman" w:hAnsi="Times New Roman" w:eastAsia="黑体" w:cs="Times New Roman"/>
      <w:kern w:val="0"/>
      <w:lang w:val="zh-CN"/>
    </w:rPr>
  </w:style>
  <w:style w:type="character" w:customStyle="1" w:styleId="103">
    <w:name w:val="表标题 Char"/>
    <w:link w:val="102"/>
    <w:qFormat/>
    <w:locked/>
    <w:uiPriority w:val="99"/>
    <w:rPr>
      <w:rFonts w:eastAsia="黑体"/>
      <w:sz w:val="21"/>
      <w:szCs w:val="21"/>
      <w:lang w:val="zh-CN"/>
    </w:rPr>
  </w:style>
  <w:style w:type="paragraph" w:customStyle="1" w:styleId="104">
    <w:name w:val="杉树垭正文"/>
    <w:basedOn w:val="1"/>
    <w:link w:val="105"/>
    <w:qFormat/>
    <w:uiPriority w:val="99"/>
    <w:pPr>
      <w:spacing w:line="360" w:lineRule="auto"/>
      <w:ind w:firstLine="480" w:firstLineChars="200"/>
    </w:pPr>
    <w:rPr>
      <w:rFonts w:ascii="Times New Roman" w:hAnsi="Times New Roman" w:eastAsia="仿宋_GB2312" w:cs="Times New Roman"/>
      <w:kern w:val="0"/>
      <w:sz w:val="24"/>
      <w:szCs w:val="24"/>
      <w:lang w:val="zh-CN"/>
    </w:rPr>
  </w:style>
  <w:style w:type="character" w:customStyle="1" w:styleId="105">
    <w:name w:val="杉树垭正文 Char"/>
    <w:link w:val="104"/>
    <w:qFormat/>
    <w:locked/>
    <w:uiPriority w:val="99"/>
    <w:rPr>
      <w:rFonts w:eastAsia="仿宋_GB2312"/>
      <w:sz w:val="24"/>
      <w:szCs w:val="24"/>
      <w:lang w:val="zh-CN"/>
    </w:rPr>
  </w:style>
  <w:style w:type="paragraph" w:customStyle="1" w:styleId="106">
    <w:name w:val="湖北新"/>
    <w:basedOn w:val="1"/>
    <w:link w:val="107"/>
    <w:qFormat/>
    <w:uiPriority w:val="99"/>
    <w:pPr>
      <w:adjustRightInd w:val="0"/>
      <w:spacing w:line="360" w:lineRule="auto"/>
      <w:ind w:firstLine="480" w:firstLineChars="200"/>
    </w:pPr>
    <w:rPr>
      <w:rFonts w:ascii="宋体" w:hAnsi="宋体" w:eastAsia="仿宋_GB2312" w:cs="Times New Roman"/>
      <w:color w:val="000000"/>
      <w:kern w:val="0"/>
      <w:sz w:val="28"/>
      <w:szCs w:val="28"/>
      <w:lang w:val="zh-CN"/>
    </w:rPr>
  </w:style>
  <w:style w:type="character" w:customStyle="1" w:styleId="107">
    <w:name w:val="湖北新 Char"/>
    <w:link w:val="106"/>
    <w:qFormat/>
    <w:locked/>
    <w:uiPriority w:val="99"/>
    <w:rPr>
      <w:rFonts w:ascii="宋体" w:hAnsi="宋体" w:eastAsia="仿宋_GB2312"/>
      <w:color w:val="000000"/>
      <w:sz w:val="28"/>
      <w:szCs w:val="28"/>
      <w:lang w:val="zh-CN"/>
    </w:rPr>
  </w:style>
  <w:style w:type="character" w:customStyle="1" w:styleId="108">
    <w:name w:val="标题 2 Char1"/>
    <w:qFormat/>
    <w:uiPriority w:val="99"/>
    <w:rPr>
      <w:rFonts w:ascii="黑体" w:eastAsia="黑体" w:cs="黑体"/>
      <w:kern w:val="2"/>
      <w:sz w:val="30"/>
      <w:szCs w:val="30"/>
    </w:rPr>
  </w:style>
  <w:style w:type="paragraph" w:customStyle="1" w:styleId="109">
    <w:name w:val="样式 标题 2标题 2 Char + 自动设置 首行缩进:  1.13 厘米"/>
    <w:basedOn w:val="4"/>
    <w:link w:val="110"/>
    <w:qFormat/>
    <w:uiPriority w:val="99"/>
    <w:pPr>
      <w:spacing w:beforeLines="50" w:after="0" w:line="360" w:lineRule="auto"/>
    </w:pPr>
    <w:rPr>
      <w:rFonts w:ascii="黑体" w:hAnsi="Times New Roman" w:cs="Times New Roman"/>
      <w:sz w:val="30"/>
      <w:szCs w:val="30"/>
    </w:rPr>
  </w:style>
  <w:style w:type="character" w:customStyle="1" w:styleId="110">
    <w:name w:val="样式 标题 2标题 2 Char + 自动设置 首行缩进:  1.13 厘米 Char"/>
    <w:link w:val="109"/>
    <w:qFormat/>
    <w:locked/>
    <w:uiPriority w:val="99"/>
    <w:rPr>
      <w:rFonts w:ascii="黑体" w:eastAsia="黑体"/>
      <w:sz w:val="30"/>
      <w:szCs w:val="30"/>
    </w:rPr>
  </w:style>
  <w:style w:type="paragraph" w:customStyle="1" w:styleId="111">
    <w:name w:val="样式 标题 3 + 首行缩进:  1.13 厘米 段前: 12 磅 段后: 12 磅 行距: 固定值 25 磅"/>
    <w:basedOn w:val="5"/>
    <w:qFormat/>
    <w:uiPriority w:val="99"/>
    <w:pPr>
      <w:spacing w:before="240" w:after="240" w:line="500" w:lineRule="exact"/>
      <w:jc w:val="left"/>
    </w:pPr>
    <w:rPr>
      <w:rFonts w:ascii="Times New Roman" w:hAnsi="Times New Roman" w:cs="Times New Roman"/>
      <w:b/>
      <w:bCs/>
      <w:kern w:val="2"/>
      <w:sz w:val="30"/>
      <w:szCs w:val="30"/>
    </w:rPr>
  </w:style>
  <w:style w:type="character" w:customStyle="1" w:styleId="112">
    <w:name w:val="样式 四号"/>
    <w:basedOn w:val="44"/>
    <w:qFormat/>
    <w:uiPriority w:val="0"/>
  </w:style>
  <w:style w:type="paragraph" w:customStyle="1" w:styleId="113">
    <w:name w:val="样式 样式 标题 2标题 2 Char + 自动设置 首行缩进:  1.13 厘米 + (中文) 仿宋_GB2312 三号"/>
    <w:basedOn w:val="109"/>
    <w:link w:val="114"/>
    <w:qFormat/>
    <w:uiPriority w:val="99"/>
    <w:rPr>
      <w:b/>
      <w:bCs/>
      <w:sz w:val="32"/>
      <w:szCs w:val="32"/>
    </w:rPr>
  </w:style>
  <w:style w:type="character" w:customStyle="1" w:styleId="114">
    <w:name w:val="样式 样式 标题 2标题 2 Char + 自动设置 首行缩进:  1.13 厘米 + (中文) 仿宋_GB2312 三号 Char"/>
    <w:link w:val="113"/>
    <w:qFormat/>
    <w:locked/>
    <w:uiPriority w:val="99"/>
    <w:rPr>
      <w:rFonts w:ascii="黑体" w:eastAsia="黑体"/>
      <w:b/>
      <w:bCs/>
      <w:sz w:val="32"/>
      <w:szCs w:val="32"/>
    </w:rPr>
  </w:style>
  <w:style w:type="paragraph" w:customStyle="1" w:styleId="115">
    <w:name w:val="样式 样式 标题 3 + 首行缩进:  1.13 厘米 段前: 12 磅 段后: 12 磅 行距: 固定值 25 磅 + (中文..."/>
    <w:basedOn w:val="111"/>
    <w:qFormat/>
    <w:uiPriority w:val="99"/>
  </w:style>
  <w:style w:type="paragraph" w:customStyle="1" w:styleId="116">
    <w:name w:val="Quote1"/>
    <w:basedOn w:val="1"/>
    <w:next w:val="1"/>
    <w:link w:val="117"/>
    <w:qFormat/>
    <w:uiPriority w:val="99"/>
    <w:rPr>
      <w:rFonts w:ascii="Times New Roman" w:hAnsi="Times New Roman" w:cs="Times New Roman"/>
      <w:i/>
      <w:iCs/>
      <w:color w:val="000000"/>
    </w:rPr>
  </w:style>
  <w:style w:type="character" w:customStyle="1" w:styleId="117">
    <w:name w:val="引用 Char"/>
    <w:basedOn w:val="44"/>
    <w:link w:val="116"/>
    <w:qFormat/>
    <w:locked/>
    <w:uiPriority w:val="99"/>
    <w:rPr>
      <w:i/>
      <w:iCs/>
      <w:color w:val="000000"/>
      <w:kern w:val="2"/>
      <w:sz w:val="21"/>
      <w:szCs w:val="21"/>
    </w:rPr>
  </w:style>
  <w:style w:type="paragraph" w:customStyle="1" w:styleId="118">
    <w:name w:val="Intense Quote1"/>
    <w:basedOn w:val="1"/>
    <w:next w:val="1"/>
    <w:link w:val="119"/>
    <w:qFormat/>
    <w:uiPriority w:val="99"/>
    <w:pPr>
      <w:pBdr>
        <w:bottom w:val="single" w:color="4F81BD" w:sz="4" w:space="4"/>
      </w:pBdr>
      <w:spacing w:before="200" w:after="280"/>
      <w:ind w:left="936" w:right="936"/>
    </w:pPr>
    <w:rPr>
      <w:rFonts w:ascii="Times New Roman" w:hAnsi="Times New Roman" w:cs="Times New Roman"/>
      <w:b/>
      <w:bCs/>
      <w:i/>
      <w:iCs/>
      <w:color w:val="4F81BD"/>
    </w:rPr>
  </w:style>
  <w:style w:type="character" w:customStyle="1" w:styleId="119">
    <w:name w:val="明显引用 Char"/>
    <w:basedOn w:val="44"/>
    <w:link w:val="118"/>
    <w:qFormat/>
    <w:locked/>
    <w:uiPriority w:val="99"/>
    <w:rPr>
      <w:b/>
      <w:bCs/>
      <w:i/>
      <w:iCs/>
      <w:color w:val="4F81BD"/>
      <w:kern w:val="2"/>
      <w:sz w:val="21"/>
      <w:szCs w:val="21"/>
    </w:rPr>
  </w:style>
  <w:style w:type="paragraph" w:customStyle="1" w:styleId="120">
    <w:name w:val="附录表标题"/>
    <w:next w:val="1"/>
    <w:qFormat/>
    <w:uiPriority w:val="99"/>
    <w:pPr>
      <w:tabs>
        <w:tab w:val="left" w:pos="1353"/>
      </w:tabs>
      <w:spacing w:line="400" w:lineRule="exact"/>
      <w:ind w:left="1353" w:hanging="360"/>
      <w:jc w:val="center"/>
      <w:textAlignment w:val="baseline"/>
    </w:pPr>
    <w:rPr>
      <w:rFonts w:ascii="黑体" w:hAnsi="Times New Roman" w:eastAsia="黑体" w:cs="黑体"/>
      <w:kern w:val="21"/>
      <w:sz w:val="21"/>
      <w:szCs w:val="21"/>
      <w:lang w:val="en-US" w:eastAsia="zh-CN" w:bidi="ar-SA"/>
    </w:rPr>
  </w:style>
  <w:style w:type="paragraph" w:customStyle="1" w:styleId="121">
    <w:name w:val="正文1"/>
    <w:basedOn w:val="1"/>
    <w:link w:val="122"/>
    <w:qFormat/>
    <w:uiPriority w:val="0"/>
    <w:pPr>
      <w:spacing w:line="440" w:lineRule="exact"/>
      <w:ind w:firstLine="480" w:firstLineChars="200"/>
    </w:pPr>
    <w:rPr>
      <w:rFonts w:ascii="Times New Roman" w:hAnsi="Times New Roman" w:cs="Times New Roman"/>
      <w:color w:val="000000"/>
      <w:kern w:val="0"/>
      <w:sz w:val="27"/>
      <w:szCs w:val="27"/>
    </w:rPr>
  </w:style>
  <w:style w:type="character" w:customStyle="1" w:styleId="122">
    <w:name w:val="正文1 Char"/>
    <w:link w:val="121"/>
    <w:qFormat/>
    <w:locked/>
    <w:uiPriority w:val="99"/>
    <w:rPr>
      <w:color w:val="000000"/>
      <w:sz w:val="27"/>
      <w:szCs w:val="27"/>
    </w:rPr>
  </w:style>
  <w:style w:type="paragraph" w:customStyle="1" w:styleId="123">
    <w:name w:val="默认段落字体 Para Char"/>
    <w:basedOn w:val="1"/>
    <w:next w:val="1"/>
    <w:qFormat/>
    <w:uiPriority w:val="0"/>
    <w:pPr>
      <w:spacing w:line="360" w:lineRule="auto"/>
      <w:ind w:firstLine="200" w:firstLineChars="200"/>
    </w:pPr>
    <w:rPr>
      <w:rFonts w:ascii="宋体" w:hAnsi="宋体" w:cs="宋体"/>
      <w:sz w:val="24"/>
      <w:szCs w:val="24"/>
    </w:rPr>
  </w:style>
  <w:style w:type="paragraph" w:customStyle="1" w:styleId="124">
    <w:name w:val="图表标题201110805"/>
    <w:basedOn w:val="1"/>
    <w:qFormat/>
    <w:uiPriority w:val="99"/>
    <w:pPr>
      <w:spacing w:line="360" w:lineRule="auto"/>
    </w:pPr>
    <w:rPr>
      <w:rFonts w:ascii="Arial Unicode MS" w:hAnsi="Arial Unicode MS" w:eastAsia="黑体" w:cs="Arial Unicode MS"/>
    </w:rPr>
  </w:style>
  <w:style w:type="paragraph" w:customStyle="1" w:styleId="125">
    <w:name w:val="样式 标题 4 + (西文) 黑体 非加粗"/>
    <w:basedOn w:val="6"/>
    <w:qFormat/>
    <w:uiPriority w:val="99"/>
    <w:pPr>
      <w:spacing w:before="0" w:after="0" w:line="360" w:lineRule="auto"/>
    </w:pPr>
    <w:rPr>
      <w:rFonts w:ascii="黑体" w:hAnsi="黑体" w:eastAsia="黑体" w:cs="黑体"/>
      <w:kern w:val="2"/>
      <w:sz w:val="24"/>
      <w:szCs w:val="24"/>
    </w:rPr>
  </w:style>
  <w:style w:type="paragraph" w:customStyle="1" w:styleId="126">
    <w:name w:val="Char1"/>
    <w:basedOn w:val="1"/>
    <w:qFormat/>
    <w:uiPriority w:val="0"/>
    <w:rPr>
      <w:rFonts w:ascii="Times New Roman" w:hAnsi="Times New Roman" w:cs="Times New Roman"/>
    </w:rPr>
  </w:style>
  <w:style w:type="paragraph" w:customStyle="1" w:styleId="127">
    <w:name w:val="正文20110806"/>
    <w:basedOn w:val="1"/>
    <w:next w:val="1"/>
    <w:link w:val="128"/>
    <w:qFormat/>
    <w:uiPriority w:val="99"/>
    <w:pPr>
      <w:spacing w:line="360" w:lineRule="auto"/>
      <w:ind w:firstLine="200" w:firstLineChars="200"/>
    </w:pPr>
    <w:rPr>
      <w:rFonts w:ascii="Times New Roman" w:hAnsi="Times New Roman" w:eastAsia="仿宋_GB2312" w:cs="Times New Roman"/>
      <w:color w:val="000000"/>
      <w:kern w:val="28"/>
      <w:sz w:val="24"/>
      <w:szCs w:val="24"/>
      <w:u w:color="000000"/>
      <w:lang w:val="en-GB"/>
    </w:rPr>
  </w:style>
  <w:style w:type="character" w:customStyle="1" w:styleId="128">
    <w:name w:val="正文20110806 Char"/>
    <w:basedOn w:val="44"/>
    <w:link w:val="127"/>
    <w:qFormat/>
    <w:locked/>
    <w:uiPriority w:val="99"/>
    <w:rPr>
      <w:rFonts w:eastAsia="仿宋_GB2312"/>
      <w:color w:val="000000"/>
      <w:kern w:val="28"/>
      <w:sz w:val="24"/>
      <w:szCs w:val="24"/>
      <w:u w:color="000000"/>
      <w:lang w:val="en-GB"/>
    </w:rPr>
  </w:style>
  <w:style w:type="paragraph" w:customStyle="1" w:styleId="129">
    <w:name w:val="表格正文20110806"/>
    <w:basedOn w:val="1"/>
    <w:qFormat/>
    <w:uiPriority w:val="99"/>
    <w:pPr>
      <w:jc w:val="center"/>
    </w:pPr>
    <w:rPr>
      <w:rFonts w:ascii="Times New Roman" w:hAnsi="Times New Roman" w:eastAsia="仿宋_GB2312" w:cs="Times New Roman"/>
    </w:rPr>
  </w:style>
  <w:style w:type="paragraph" w:customStyle="1" w:styleId="130">
    <w:name w:val="表头"/>
    <w:basedOn w:val="1"/>
    <w:next w:val="1"/>
    <w:qFormat/>
    <w:uiPriority w:val="99"/>
    <w:pPr>
      <w:tabs>
        <w:tab w:val="left" w:pos="0"/>
        <w:tab w:val="left" w:pos="7380"/>
      </w:tabs>
      <w:autoSpaceDE w:val="0"/>
      <w:autoSpaceDN w:val="0"/>
      <w:spacing w:after="120"/>
      <w:ind w:right="240" w:rightChars="100"/>
      <w:jc w:val="center"/>
    </w:pPr>
    <w:rPr>
      <w:rFonts w:ascii="宋体" w:hAnsi="宋体" w:cs="宋体"/>
      <w:kern w:val="32"/>
      <w:sz w:val="24"/>
      <w:szCs w:val="24"/>
    </w:rPr>
  </w:style>
  <w:style w:type="paragraph" w:customStyle="1" w:styleId="131">
    <w:name w:val="Char11"/>
    <w:basedOn w:val="1"/>
    <w:qFormat/>
    <w:uiPriority w:val="99"/>
    <w:rPr>
      <w:rFonts w:ascii="Times New Roman" w:hAnsi="Times New Roman" w:cs="Times New Roman"/>
    </w:rPr>
  </w:style>
  <w:style w:type="paragraph" w:customStyle="1" w:styleId="132">
    <w:name w:val="表内－左5"/>
    <w:basedOn w:val="1"/>
    <w:link w:val="133"/>
    <w:qFormat/>
    <w:uiPriority w:val="99"/>
    <w:pPr>
      <w:adjustRightInd w:val="0"/>
      <w:snapToGrid w:val="0"/>
      <w:spacing w:line="360" w:lineRule="exact"/>
      <w:jc w:val="left"/>
    </w:pPr>
    <w:rPr>
      <w:kern w:val="28"/>
    </w:rPr>
  </w:style>
  <w:style w:type="character" w:customStyle="1" w:styleId="133">
    <w:name w:val="表内－左5 Char"/>
    <w:basedOn w:val="44"/>
    <w:link w:val="132"/>
    <w:qFormat/>
    <w:locked/>
    <w:uiPriority w:val="99"/>
    <w:rPr>
      <w:rFonts w:ascii="Calibri" w:hAnsi="Calibri" w:cs="Calibri"/>
      <w:kern w:val="28"/>
      <w:sz w:val="21"/>
      <w:szCs w:val="21"/>
    </w:rPr>
  </w:style>
  <w:style w:type="paragraph" w:customStyle="1" w:styleId="134">
    <w:name w:val="表内－中5"/>
    <w:basedOn w:val="1"/>
    <w:qFormat/>
    <w:uiPriority w:val="99"/>
    <w:pPr>
      <w:adjustRightInd w:val="0"/>
      <w:snapToGrid w:val="0"/>
      <w:spacing w:line="360" w:lineRule="exact"/>
      <w:jc w:val="center"/>
    </w:pPr>
    <w:rPr>
      <w:rFonts w:ascii="Times New Roman" w:hAnsi="Times New Roman" w:cs="Times New Roman"/>
      <w:kern w:val="28"/>
    </w:rPr>
  </w:style>
  <w:style w:type="paragraph" w:customStyle="1" w:styleId="135">
    <w:name w:val="li表格"/>
    <w:basedOn w:val="1"/>
    <w:next w:val="1"/>
    <w:qFormat/>
    <w:uiPriority w:val="99"/>
    <w:pPr>
      <w:jc w:val="center"/>
    </w:pPr>
    <w:rPr>
      <w:rFonts w:ascii="Times New Roman" w:hAnsi="Times New Roman" w:cs="Times New Roman"/>
      <w:b/>
      <w:bCs/>
      <w:spacing w:val="4"/>
    </w:rPr>
  </w:style>
  <w:style w:type="paragraph" w:customStyle="1" w:styleId="136">
    <w:name w:val="段"/>
    <w:link w:val="137"/>
    <w:qFormat/>
    <w:uiPriority w:val="99"/>
    <w:pPr>
      <w:tabs>
        <w:tab w:val="center" w:pos="4201"/>
        <w:tab w:val="right" w:leader="dot" w:pos="9298"/>
      </w:tabs>
      <w:autoSpaceDE w:val="0"/>
      <w:autoSpaceDN w:val="0"/>
      <w:spacing w:line="400" w:lineRule="exact"/>
      <w:ind w:firstLine="420" w:firstLineChars="200"/>
      <w:jc w:val="both"/>
    </w:pPr>
    <w:rPr>
      <w:rFonts w:ascii="宋体" w:hAnsi="Times New Roman" w:eastAsia="宋体" w:cs="Times New Roman"/>
      <w:kern w:val="2"/>
      <w:sz w:val="22"/>
      <w:szCs w:val="22"/>
      <w:lang w:val="en-US" w:eastAsia="zh-CN" w:bidi="ar-SA"/>
    </w:rPr>
  </w:style>
  <w:style w:type="character" w:customStyle="1" w:styleId="137">
    <w:name w:val="段 Char"/>
    <w:link w:val="136"/>
    <w:qFormat/>
    <w:locked/>
    <w:uiPriority w:val="99"/>
    <w:rPr>
      <w:rFonts w:ascii="宋体"/>
      <w:kern w:val="2"/>
      <w:sz w:val="22"/>
      <w:szCs w:val="22"/>
    </w:rPr>
  </w:style>
  <w:style w:type="paragraph" w:customStyle="1" w:styleId="138">
    <w:name w:val="表名，图名"/>
    <w:basedOn w:val="124"/>
    <w:qFormat/>
    <w:uiPriority w:val="99"/>
    <w:pPr>
      <w:spacing w:before="120"/>
      <w:jc w:val="center"/>
    </w:pPr>
  </w:style>
  <w:style w:type="paragraph" w:customStyle="1" w:styleId="139">
    <w:name w:val="Char12"/>
    <w:basedOn w:val="1"/>
    <w:qFormat/>
    <w:uiPriority w:val="99"/>
    <w:rPr>
      <w:rFonts w:ascii="Times New Roman" w:hAnsi="Times New Roman" w:cs="Times New Roman"/>
    </w:rPr>
  </w:style>
  <w:style w:type="paragraph" w:customStyle="1" w:styleId="140">
    <w:name w:val="Default"/>
    <w:qFormat/>
    <w:uiPriority w:val="99"/>
    <w:pPr>
      <w:widowControl w:val="0"/>
      <w:autoSpaceDE w:val="0"/>
      <w:autoSpaceDN w:val="0"/>
      <w:adjustRightInd w:val="0"/>
      <w:spacing w:line="400" w:lineRule="exact"/>
    </w:pPr>
    <w:rPr>
      <w:rFonts w:ascii="宋体" w:hAnsi="Calibri" w:eastAsia="宋体" w:cs="宋体"/>
      <w:color w:val="000000"/>
      <w:sz w:val="24"/>
      <w:szCs w:val="24"/>
      <w:lang w:val="en-US" w:eastAsia="zh-CN" w:bidi="ar-SA"/>
    </w:rPr>
  </w:style>
  <w:style w:type="paragraph" w:customStyle="1" w:styleId="141">
    <w:name w:val="xl26"/>
    <w:basedOn w:val="1"/>
    <w:qFormat/>
    <w:uiPriority w:val="0"/>
    <w:pPr>
      <w:widowControl/>
      <w:spacing w:before="100" w:after="100"/>
      <w:jc w:val="center"/>
    </w:pPr>
    <w:rPr>
      <w:kern w:val="0"/>
      <w:szCs w:val="20"/>
    </w:rPr>
  </w:style>
  <w:style w:type="paragraph" w:customStyle="1" w:styleId="142">
    <w:name w:val="无间隔1"/>
    <w:qFormat/>
    <w:uiPriority w:val="0"/>
    <w:pPr>
      <w:widowControl w:val="0"/>
      <w:spacing w:line="400" w:lineRule="exact"/>
      <w:jc w:val="center"/>
    </w:pPr>
    <w:rPr>
      <w:rFonts w:ascii="Times New Roman" w:hAnsi="Times New Roman" w:eastAsia="仿宋_GB2312" w:cs="Times New Roman"/>
      <w:kern w:val="2"/>
      <w:sz w:val="24"/>
      <w:szCs w:val="24"/>
      <w:lang w:val="en-US" w:eastAsia="zh-CN" w:bidi="ar-SA"/>
    </w:rPr>
  </w:style>
  <w:style w:type="paragraph" w:customStyle="1" w:styleId="143">
    <w:name w:val="图表标题"/>
    <w:basedOn w:val="21"/>
    <w:qFormat/>
    <w:uiPriority w:val="0"/>
    <w:pPr>
      <w:spacing w:before="100" w:beforeAutospacing="1" w:after="100" w:afterAutospacing="1"/>
      <w:ind w:firstLine="1560" w:firstLineChars="650"/>
    </w:pPr>
    <w:rPr>
      <w:rFonts w:ascii="仿宋_GB2312" w:hAnsi="宋体" w:eastAsia="仿宋_GB2312"/>
      <w:sz w:val="24"/>
    </w:rPr>
  </w:style>
  <w:style w:type="paragraph" w:customStyle="1" w:styleId="144">
    <w:name w:val="_Style 1"/>
    <w:basedOn w:val="1"/>
    <w:qFormat/>
    <w:uiPriority w:val="34"/>
    <w:pPr>
      <w:ind w:firstLine="420" w:firstLineChars="200"/>
    </w:pPr>
  </w:style>
  <w:style w:type="character" w:customStyle="1" w:styleId="145">
    <w:name w:val="font21"/>
    <w:basedOn w:val="44"/>
    <w:qFormat/>
    <w:uiPriority w:val="0"/>
    <w:rPr>
      <w:rFonts w:hint="default" w:ascii="Times New Roman" w:hAnsi="Times New Roman" w:cs="Times New Roman"/>
      <w:color w:val="000000"/>
      <w:sz w:val="20"/>
      <w:szCs w:val="20"/>
      <w:u w:val="none"/>
    </w:rPr>
  </w:style>
  <w:style w:type="character" w:customStyle="1" w:styleId="146">
    <w:name w:val="font41"/>
    <w:basedOn w:val="44"/>
    <w:qFormat/>
    <w:uiPriority w:val="0"/>
    <w:rPr>
      <w:rFonts w:hint="eastAsia" w:ascii="宋体" w:hAnsi="宋体" w:eastAsia="宋体" w:cs="宋体"/>
      <w:color w:val="000000"/>
      <w:sz w:val="20"/>
      <w:szCs w:val="20"/>
      <w:u w:val="none"/>
    </w:rPr>
  </w:style>
  <w:style w:type="character" w:customStyle="1" w:styleId="147">
    <w:name w:val="font112"/>
    <w:basedOn w:val="44"/>
    <w:qFormat/>
    <w:uiPriority w:val="0"/>
    <w:rPr>
      <w:rFonts w:hint="default" w:ascii="Times New Roman" w:hAnsi="Times New Roman" w:cs="Times New Roman"/>
      <w:color w:val="000000"/>
      <w:sz w:val="20"/>
      <w:szCs w:val="20"/>
      <w:u w:val="none"/>
      <w:vertAlign w:val="superscript"/>
    </w:rPr>
  </w:style>
  <w:style w:type="character" w:customStyle="1" w:styleId="148">
    <w:name w:val="font101"/>
    <w:basedOn w:val="44"/>
    <w:qFormat/>
    <w:uiPriority w:val="0"/>
    <w:rPr>
      <w:rFonts w:hint="eastAsia" w:ascii="宋体" w:hAnsi="宋体" w:eastAsia="宋体" w:cs="宋体"/>
      <w:color w:val="000000"/>
      <w:sz w:val="20"/>
      <w:szCs w:val="20"/>
      <w:u w:val="none"/>
      <w:vertAlign w:val="superscript"/>
    </w:rPr>
  </w:style>
  <w:style w:type="character" w:customStyle="1" w:styleId="149">
    <w:name w:val="font71"/>
    <w:basedOn w:val="44"/>
    <w:qFormat/>
    <w:uiPriority w:val="0"/>
    <w:rPr>
      <w:rFonts w:hint="default" w:ascii="Times New Roman" w:hAnsi="Times New Roman" w:cs="Times New Roman"/>
      <w:b/>
      <w:color w:val="000000"/>
      <w:sz w:val="20"/>
      <w:szCs w:val="20"/>
      <w:u w:val="none"/>
    </w:rPr>
  </w:style>
  <w:style w:type="character" w:customStyle="1" w:styleId="150">
    <w:name w:val="font11"/>
    <w:basedOn w:val="44"/>
    <w:qFormat/>
    <w:uiPriority w:val="0"/>
    <w:rPr>
      <w:rFonts w:hint="eastAsia" w:ascii="宋体" w:hAnsi="宋体" w:eastAsia="宋体" w:cs="宋体"/>
      <w:b/>
      <w:color w:val="000000"/>
      <w:sz w:val="20"/>
      <w:szCs w:val="20"/>
      <w:u w:val="none"/>
    </w:rPr>
  </w:style>
  <w:style w:type="character" w:customStyle="1" w:styleId="151">
    <w:name w:val="font01"/>
    <w:basedOn w:val="44"/>
    <w:qFormat/>
    <w:uiPriority w:val="0"/>
    <w:rPr>
      <w:rFonts w:hint="default" w:ascii="Times New Roman" w:hAnsi="Times New Roman" w:cs="Times New Roman"/>
      <w:color w:val="000000"/>
      <w:sz w:val="20"/>
      <w:szCs w:val="20"/>
      <w:u w:val="none"/>
    </w:rPr>
  </w:style>
  <w:style w:type="paragraph" w:customStyle="1" w:styleId="152">
    <w:name w:val="Char Char Char2 Char Char Char Char Char Char Char Char Char Char Char Char Char Char Char Char Char Char Char Char Char Char Char Char Char Char Char Char Char Char Char Char Char Char Char Char Char1"/>
    <w:basedOn w:val="1"/>
    <w:next w:val="2"/>
    <w:qFormat/>
    <w:uiPriority w:val="0"/>
    <w:rPr>
      <w:rFonts w:ascii="Times New Roman" w:hAnsi="Times New Roman" w:cs="Times New Roman"/>
      <w:sz w:val="28"/>
      <w:szCs w:val="28"/>
    </w:rPr>
  </w:style>
  <w:style w:type="paragraph" w:customStyle="1" w:styleId="153">
    <w:name w:val="样式 样式 样式 四号 首行缩进:  1.01 厘米 行距: 固定值 30 磅 + 首行缩进:  2 字符 + 行距: 最小值 ..."/>
    <w:basedOn w:val="1"/>
    <w:qFormat/>
    <w:uiPriority w:val="0"/>
    <w:pPr>
      <w:spacing w:line="360" w:lineRule="auto"/>
      <w:ind w:firstLine="560" w:firstLineChars="200"/>
      <w:jc w:val="left"/>
    </w:pPr>
    <w:rPr>
      <w:rFonts w:cs="宋体"/>
      <w:sz w:val="28"/>
      <w:szCs w:val="20"/>
    </w:rPr>
  </w:style>
  <w:style w:type="paragraph" w:customStyle="1" w:styleId="154">
    <w:name w:val="正文文字缩进2"/>
    <w:basedOn w:val="24"/>
    <w:qFormat/>
    <w:uiPriority w:val="0"/>
    <w:pPr>
      <w:spacing w:after="0" w:line="360" w:lineRule="auto"/>
      <w:ind w:left="0" w:leftChars="0" w:firstLine="560" w:firstLineChars="200"/>
    </w:pPr>
    <w:rPr>
      <w:rFonts w:ascii="仿宋_GB2312" w:eastAsia="仿宋_GB2312"/>
      <w:kern w:val="2"/>
      <w:sz w:val="28"/>
      <w:szCs w:val="28"/>
    </w:rPr>
  </w:style>
  <w:style w:type="paragraph" w:customStyle="1" w:styleId="155">
    <w:name w:val="样式 四号 行距: 1.5 倍行距"/>
    <w:basedOn w:val="153"/>
    <w:qFormat/>
    <w:uiPriority w:val="0"/>
    <w:rPr>
      <w:rFonts w:ascii="Times New Roman" w:hAnsi="Times New Roman"/>
    </w:rPr>
  </w:style>
  <w:style w:type="paragraph" w:customStyle="1" w:styleId="156">
    <w:name w:val="Table Paragraph"/>
    <w:basedOn w:val="1"/>
    <w:qFormat/>
    <w:uiPriority w:val="1"/>
    <w:pPr>
      <w:autoSpaceDE w:val="0"/>
      <w:autoSpaceDN w:val="0"/>
      <w:adjustRightInd w:val="0"/>
      <w:jc w:val="left"/>
    </w:pPr>
    <w:rPr>
      <w:rFonts w:ascii="Times New Roman" w:hAnsi="Times New Roman" w:cs="Times New Roman"/>
      <w:kern w:val="0"/>
      <w:sz w:val="24"/>
      <w:szCs w:val="24"/>
    </w:rPr>
  </w:style>
  <w:style w:type="paragraph" w:customStyle="1" w:styleId="157">
    <w:name w:val="Heading 9"/>
    <w:basedOn w:val="1"/>
    <w:qFormat/>
    <w:uiPriority w:val="1"/>
    <w:pPr>
      <w:autoSpaceDE w:val="0"/>
      <w:autoSpaceDN w:val="0"/>
      <w:adjustRightInd w:val="0"/>
      <w:ind w:left="161"/>
      <w:jc w:val="left"/>
      <w:outlineLvl w:val="8"/>
    </w:pPr>
    <w:rPr>
      <w:rFonts w:ascii="仿宋_GB2312" w:hAnsi="Times New Roman" w:eastAsia="仿宋_GB2312" w:cs="仿宋_GB2312"/>
      <w:kern w:val="0"/>
      <w:sz w:val="27"/>
      <w:szCs w:val="27"/>
    </w:rPr>
  </w:style>
  <w:style w:type="paragraph" w:customStyle="1" w:styleId="158">
    <w:name w:val="新标题1"/>
    <w:basedOn w:val="159"/>
    <w:qFormat/>
    <w:uiPriority w:val="0"/>
    <w:pPr>
      <w:widowControl/>
      <w:spacing w:before="0" w:after="0"/>
      <w:outlineLvl w:val="9"/>
    </w:pPr>
    <w:rPr>
      <w:b w:val="0"/>
      <w:bCs w:val="0"/>
    </w:rPr>
  </w:style>
  <w:style w:type="paragraph" w:customStyle="1" w:styleId="159">
    <w:name w:val="修复方案一级标题 黑体三号"/>
    <w:basedOn w:val="38"/>
    <w:link w:val="175"/>
    <w:qFormat/>
    <w:uiPriority w:val="0"/>
    <w:pPr>
      <w:spacing w:line="360" w:lineRule="auto"/>
    </w:pPr>
    <w:rPr>
      <w:rFonts w:ascii="黑体" w:hAnsi="黑体" w:eastAsia="黑体" w:cs="Calibri"/>
      <w:kern w:val="2"/>
    </w:rPr>
  </w:style>
  <w:style w:type="paragraph" w:customStyle="1" w:styleId="160">
    <w:name w:val="正文文本最新 Char Char Char"/>
    <w:basedOn w:val="1"/>
    <w:link w:val="161"/>
    <w:qFormat/>
    <w:uiPriority w:val="0"/>
    <w:pPr>
      <w:spacing w:line="360" w:lineRule="auto"/>
      <w:ind w:firstLine="200" w:firstLineChars="200"/>
    </w:pPr>
    <w:rPr>
      <w:rFonts w:ascii="Times New Roman" w:hAnsi="Times New Roman" w:cs="Times New Roman"/>
      <w:bCs/>
      <w:kern w:val="0"/>
      <w:sz w:val="28"/>
      <w:szCs w:val="24"/>
    </w:rPr>
  </w:style>
  <w:style w:type="character" w:customStyle="1" w:styleId="161">
    <w:name w:val="正文文本最新 Char Char Char Char1"/>
    <w:link w:val="160"/>
    <w:qFormat/>
    <w:uiPriority w:val="0"/>
    <w:rPr>
      <w:bCs/>
      <w:sz w:val="28"/>
      <w:szCs w:val="24"/>
    </w:rPr>
  </w:style>
  <w:style w:type="paragraph" w:customStyle="1" w:styleId="162">
    <w:name w:val="Heading 2"/>
    <w:basedOn w:val="1"/>
    <w:qFormat/>
    <w:uiPriority w:val="1"/>
    <w:pPr>
      <w:autoSpaceDE w:val="0"/>
      <w:autoSpaceDN w:val="0"/>
      <w:adjustRightInd w:val="0"/>
      <w:spacing w:before="26"/>
      <w:ind w:left="137"/>
      <w:jc w:val="left"/>
      <w:outlineLvl w:val="1"/>
    </w:pPr>
    <w:rPr>
      <w:rFonts w:ascii="仿宋" w:hAnsi="Times New Roman" w:eastAsia="仿宋" w:cs="仿宋"/>
      <w:b/>
      <w:bCs/>
      <w:kern w:val="0"/>
      <w:sz w:val="24"/>
      <w:szCs w:val="24"/>
    </w:rPr>
  </w:style>
  <w:style w:type="paragraph" w:customStyle="1" w:styleId="163">
    <w:name w:val="正文21"/>
    <w:basedOn w:val="1"/>
    <w:qFormat/>
    <w:uiPriority w:val="0"/>
    <w:pPr>
      <w:adjustRightInd w:val="0"/>
      <w:snapToGrid w:val="0"/>
      <w:spacing w:line="360" w:lineRule="auto"/>
      <w:ind w:firstLine="480" w:firstLineChars="200"/>
    </w:pPr>
    <w:rPr>
      <w:rFonts w:ascii="Times New Roman" w:hAnsi="Times New Roman" w:cs="Times New Roman"/>
      <w:color w:val="7030A0"/>
      <w:sz w:val="24"/>
      <w:szCs w:val="22"/>
    </w:rPr>
  </w:style>
  <w:style w:type="paragraph" w:customStyle="1" w:styleId="164">
    <w:name w:val="Heading 4"/>
    <w:basedOn w:val="1"/>
    <w:qFormat/>
    <w:uiPriority w:val="1"/>
    <w:pPr>
      <w:ind w:left="120"/>
      <w:jc w:val="left"/>
      <w:outlineLvl w:val="4"/>
    </w:pPr>
    <w:rPr>
      <w:rFonts w:ascii="仿宋" w:hAnsi="仿宋" w:eastAsia="仿宋" w:cs="Times New Roman"/>
      <w:b/>
      <w:bCs/>
      <w:kern w:val="0"/>
      <w:sz w:val="28"/>
      <w:szCs w:val="28"/>
      <w:lang w:eastAsia="en-US"/>
    </w:rPr>
  </w:style>
  <w:style w:type="paragraph" w:customStyle="1" w:styleId="165">
    <w:name w:val="baby-正文"/>
    <w:basedOn w:val="17"/>
    <w:next w:val="25"/>
    <w:link w:val="166"/>
    <w:qFormat/>
    <w:uiPriority w:val="0"/>
    <w:pPr>
      <w:spacing w:after="0" w:line="360" w:lineRule="auto"/>
      <w:ind w:firstLine="200" w:firstLineChars="200"/>
    </w:pPr>
    <w:rPr>
      <w:rFonts w:ascii="宋体" w:hAnsi="宋体" w:cs="Times New Roman"/>
      <w:bCs/>
      <w:kern w:val="2"/>
      <w:sz w:val="28"/>
      <w:szCs w:val="24"/>
    </w:rPr>
  </w:style>
  <w:style w:type="character" w:customStyle="1" w:styleId="166">
    <w:name w:val="baby-正文 Char"/>
    <w:link w:val="165"/>
    <w:qFormat/>
    <w:locked/>
    <w:uiPriority w:val="0"/>
    <w:rPr>
      <w:rFonts w:ascii="宋体" w:hAnsi="宋体"/>
      <w:bCs/>
      <w:kern w:val="2"/>
      <w:sz w:val="28"/>
      <w:szCs w:val="24"/>
    </w:rPr>
  </w:style>
  <w:style w:type="paragraph" w:customStyle="1" w:styleId="167">
    <w:name w:val="正文002"/>
    <w:basedOn w:val="1"/>
    <w:next w:val="1"/>
    <w:link w:val="168"/>
    <w:qFormat/>
    <w:uiPriority w:val="0"/>
    <w:pPr>
      <w:spacing w:line="520" w:lineRule="exact"/>
      <w:ind w:firstLine="480" w:firstLineChars="200"/>
    </w:pPr>
    <w:rPr>
      <w:rFonts w:ascii="Times New Roman" w:hAnsi="Times New Roman" w:cs="Times New Roman"/>
      <w:sz w:val="24"/>
      <w:szCs w:val="28"/>
    </w:rPr>
  </w:style>
  <w:style w:type="character" w:customStyle="1" w:styleId="168">
    <w:name w:val="正文002 Char"/>
    <w:link w:val="167"/>
    <w:qFormat/>
    <w:uiPriority w:val="0"/>
    <w:rPr>
      <w:kern w:val="2"/>
      <w:sz w:val="24"/>
      <w:szCs w:val="28"/>
    </w:rPr>
  </w:style>
  <w:style w:type="paragraph" w:customStyle="1" w:styleId="169">
    <w:name w:val="标题 31"/>
    <w:basedOn w:val="1"/>
    <w:next w:val="1"/>
    <w:qFormat/>
    <w:uiPriority w:val="0"/>
    <w:pPr>
      <w:keepNext/>
      <w:keepLines/>
      <w:spacing w:line="360" w:lineRule="auto"/>
      <w:ind w:firstLine="562" w:firstLineChars="200"/>
      <w:jc w:val="left"/>
      <w:outlineLvl w:val="2"/>
    </w:pPr>
    <w:rPr>
      <w:rFonts w:ascii="宋体" w:hAnsi="宋体" w:cs="Times New Roman"/>
      <w:b/>
      <w:bCs/>
      <w:sz w:val="28"/>
      <w:szCs w:val="32"/>
      <w:lang w:val="zh-CN"/>
    </w:rPr>
  </w:style>
  <w:style w:type="paragraph" w:customStyle="1" w:styleId="170">
    <w:name w:val="表文字"/>
    <w:basedOn w:val="1"/>
    <w:qFormat/>
    <w:uiPriority w:val="0"/>
    <w:pPr>
      <w:adjustRightInd w:val="0"/>
      <w:snapToGrid w:val="0"/>
      <w:spacing w:line="500" w:lineRule="exact"/>
      <w:ind w:firstLine="482" w:firstLineChars="200"/>
    </w:pPr>
    <w:rPr>
      <w:rFonts w:ascii="Times New Roman" w:hAnsi="Times New Roman" w:cs="Arial"/>
      <w:b/>
    </w:rPr>
  </w:style>
  <w:style w:type="paragraph" w:customStyle="1" w:styleId="171">
    <w:name w:val="Heading 8"/>
    <w:basedOn w:val="1"/>
    <w:qFormat/>
    <w:uiPriority w:val="1"/>
    <w:pPr>
      <w:autoSpaceDE w:val="0"/>
      <w:autoSpaceDN w:val="0"/>
      <w:adjustRightInd w:val="0"/>
      <w:spacing w:before="14"/>
      <w:ind w:left="140"/>
      <w:jc w:val="left"/>
      <w:outlineLvl w:val="7"/>
    </w:pPr>
    <w:rPr>
      <w:rFonts w:ascii="仿宋_GB2312" w:hAnsi="Times New Roman" w:eastAsia="仿宋_GB2312" w:cs="仿宋_GB2312"/>
      <w:b/>
      <w:bCs/>
      <w:kern w:val="0"/>
      <w:sz w:val="28"/>
      <w:szCs w:val="28"/>
    </w:rPr>
  </w:style>
  <w:style w:type="paragraph" w:customStyle="1" w:styleId="172">
    <w:name w:val="Heading 6"/>
    <w:basedOn w:val="1"/>
    <w:qFormat/>
    <w:uiPriority w:val="1"/>
    <w:pPr>
      <w:autoSpaceDE w:val="0"/>
      <w:autoSpaceDN w:val="0"/>
      <w:adjustRightInd w:val="0"/>
      <w:spacing w:before="7"/>
      <w:ind w:left="240"/>
      <w:jc w:val="left"/>
      <w:outlineLvl w:val="5"/>
    </w:pPr>
    <w:rPr>
      <w:rFonts w:ascii="仿宋_GB2312" w:hAnsi="Times New Roman" w:eastAsia="仿宋_GB2312" w:cs="仿宋_GB2312"/>
      <w:b/>
      <w:bCs/>
      <w:kern w:val="0"/>
      <w:sz w:val="30"/>
      <w:szCs w:val="30"/>
    </w:rPr>
  </w:style>
  <w:style w:type="paragraph" w:customStyle="1" w:styleId="173">
    <w:name w:val="Heading 3"/>
    <w:basedOn w:val="1"/>
    <w:qFormat/>
    <w:uiPriority w:val="1"/>
    <w:pPr>
      <w:spacing w:before="187"/>
      <w:ind w:left="217"/>
      <w:jc w:val="left"/>
      <w:outlineLvl w:val="3"/>
    </w:pPr>
    <w:rPr>
      <w:rFonts w:ascii="仿宋_GB2312" w:hAnsi="仿宋_GB2312" w:eastAsia="仿宋_GB2312" w:cs="Times New Roman"/>
      <w:kern w:val="0"/>
      <w:sz w:val="28"/>
      <w:szCs w:val="28"/>
      <w:lang w:eastAsia="en-US"/>
    </w:rPr>
  </w:style>
  <w:style w:type="paragraph" w:customStyle="1" w:styleId="174">
    <w:name w:val="修复方案二级标题 宋体四号加粗"/>
    <w:basedOn w:val="38"/>
    <w:link w:val="177"/>
    <w:qFormat/>
    <w:uiPriority w:val="0"/>
    <w:pPr>
      <w:spacing w:line="360" w:lineRule="auto"/>
      <w:jc w:val="left"/>
    </w:pPr>
    <w:rPr>
      <w:rFonts w:ascii="宋体" w:hAnsi="宋体"/>
      <w:sz w:val="30"/>
      <w:szCs w:val="30"/>
    </w:rPr>
  </w:style>
  <w:style w:type="character" w:customStyle="1" w:styleId="175">
    <w:name w:val="修复方案一级标题 黑体三号 Char"/>
    <w:basedOn w:val="44"/>
    <w:link w:val="159"/>
    <w:qFormat/>
    <w:uiPriority w:val="0"/>
    <w:rPr>
      <w:rFonts w:ascii="黑体" w:hAnsi="黑体" w:eastAsia="黑体" w:cs="Calibri"/>
      <w:b/>
      <w:bCs/>
      <w:kern w:val="2"/>
      <w:sz w:val="32"/>
      <w:szCs w:val="32"/>
    </w:rPr>
  </w:style>
  <w:style w:type="paragraph" w:customStyle="1" w:styleId="176">
    <w:name w:val="TOC 标题1"/>
    <w:basedOn w:val="3"/>
    <w:next w:val="1"/>
    <w:semiHidden/>
    <w:unhideWhenUsed/>
    <w:qFormat/>
    <w:uiPriority w:val="39"/>
    <w:pPr>
      <w:widowControl/>
      <w:spacing w:before="480" w:after="0" w:line="276" w:lineRule="auto"/>
      <w:outlineLvl w:val="9"/>
    </w:pPr>
    <w:rPr>
      <w:rFonts w:asciiTheme="majorHAnsi" w:hAnsiTheme="majorHAnsi" w:eastAsiaTheme="majorEastAsia" w:cstheme="majorBidi"/>
      <w:b/>
      <w:bCs/>
      <w:color w:val="366091" w:themeColor="accent1" w:themeShade="BF"/>
      <w:kern w:val="0"/>
      <w:sz w:val="28"/>
      <w:szCs w:val="28"/>
    </w:rPr>
  </w:style>
  <w:style w:type="character" w:customStyle="1" w:styleId="177">
    <w:name w:val="修复方案二级标题 宋体四号加粗 Char"/>
    <w:basedOn w:val="44"/>
    <w:link w:val="174"/>
    <w:qFormat/>
    <w:uiPriority w:val="0"/>
    <w:rPr>
      <w:rFonts w:ascii="宋体" w:hAnsi="宋体" w:cs="Cambria"/>
      <w:b/>
      <w:bCs/>
      <w:sz w:val="30"/>
      <w:szCs w:val="30"/>
    </w:rPr>
  </w:style>
  <w:style w:type="paragraph" w:customStyle="1" w:styleId="178">
    <w:name w:val="修复方案正文 宋体四号"/>
    <w:basedOn w:val="1"/>
    <w:link w:val="180"/>
    <w:qFormat/>
    <w:uiPriority w:val="0"/>
    <w:pPr>
      <w:spacing w:line="360" w:lineRule="auto"/>
      <w:ind w:firstLine="566" w:firstLineChars="202"/>
      <w:jc w:val="left"/>
    </w:pPr>
    <w:rPr>
      <w:rFonts w:ascii="宋体" w:hAnsi="宋体"/>
      <w:sz w:val="28"/>
      <w:szCs w:val="28"/>
    </w:rPr>
  </w:style>
  <w:style w:type="paragraph" w:customStyle="1" w:styleId="179">
    <w:name w:val="修复方案三级标题 宋体四号加粗"/>
    <w:link w:val="181"/>
    <w:qFormat/>
    <w:uiPriority w:val="0"/>
    <w:pPr>
      <w:spacing w:line="360" w:lineRule="auto"/>
    </w:pPr>
    <w:rPr>
      <w:rFonts w:ascii="宋体" w:hAnsi="宋体" w:eastAsia="宋体" w:cs="Cambria"/>
      <w:b/>
      <w:bCs/>
      <w:sz w:val="28"/>
      <w:szCs w:val="28"/>
      <w:lang w:val="en-US" w:eastAsia="zh-CN" w:bidi="ar-SA"/>
    </w:rPr>
  </w:style>
  <w:style w:type="character" w:customStyle="1" w:styleId="180">
    <w:name w:val="修复方案正文 宋体四号 Char"/>
    <w:basedOn w:val="44"/>
    <w:link w:val="178"/>
    <w:qFormat/>
    <w:uiPriority w:val="0"/>
    <w:rPr>
      <w:rFonts w:ascii="宋体" w:hAnsi="宋体" w:cs="Calibri"/>
      <w:kern w:val="2"/>
      <w:sz w:val="28"/>
      <w:szCs w:val="28"/>
    </w:rPr>
  </w:style>
  <w:style w:type="character" w:customStyle="1" w:styleId="181">
    <w:name w:val="修复方案三级标题 宋体四号加粗 Char"/>
    <w:basedOn w:val="44"/>
    <w:link w:val="179"/>
    <w:qFormat/>
    <w:uiPriority w:val="0"/>
    <w:rPr>
      <w:rFonts w:ascii="宋体" w:hAnsi="宋体" w:cs="Cambria"/>
      <w:b/>
      <w:bCs/>
      <w:sz w:val="28"/>
      <w:szCs w:val="28"/>
    </w:rPr>
  </w:style>
  <w:style w:type="paragraph" w:customStyle="1" w:styleId="182">
    <w:name w:val="修复方案 图表标题"/>
    <w:link w:val="183"/>
    <w:qFormat/>
    <w:uiPriority w:val="0"/>
    <w:pPr>
      <w:spacing w:line="360" w:lineRule="auto"/>
      <w:ind w:firstLine="487" w:firstLineChars="202"/>
      <w:jc w:val="center"/>
    </w:pPr>
    <w:rPr>
      <w:rFonts w:ascii="宋体" w:hAnsi="宋体" w:eastAsia="宋体" w:cs="Times New Roman"/>
      <w:b/>
      <w:kern w:val="2"/>
      <w:sz w:val="24"/>
      <w:szCs w:val="24"/>
      <w:lang w:val="en-US" w:eastAsia="zh-CN" w:bidi="ar-SA"/>
    </w:rPr>
  </w:style>
  <w:style w:type="character" w:customStyle="1" w:styleId="183">
    <w:name w:val="修复方案 图表标题 Char"/>
    <w:basedOn w:val="44"/>
    <w:link w:val="182"/>
    <w:qFormat/>
    <w:uiPriority w:val="0"/>
    <w:rPr>
      <w:rFonts w:ascii="宋体" w:hAnsi="宋体"/>
      <w:b/>
      <w:kern w:val="2"/>
      <w:sz w:val="24"/>
      <w:szCs w:val="24"/>
    </w:rPr>
  </w:style>
  <w:style w:type="character" w:customStyle="1" w:styleId="184">
    <w:name w:val="正文文本 2 Char1"/>
    <w:qFormat/>
    <w:uiPriority w:val="0"/>
    <w:rPr>
      <w:kern w:val="2"/>
      <w:sz w:val="21"/>
      <w:szCs w:val="24"/>
    </w:rPr>
  </w:style>
  <w:style w:type="table" w:customStyle="1" w:styleId="185">
    <w:name w:val="Table Normal"/>
    <w:semiHidden/>
    <w:unhideWhenUsed/>
    <w:qFormat/>
    <w:uiPriority w:val="2"/>
    <w:pPr>
      <w:widowControl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character" w:customStyle="1" w:styleId="186">
    <w:name w:val="标题 3 Char1"/>
    <w:qFormat/>
    <w:uiPriority w:val="0"/>
    <w:rPr>
      <w:rFonts w:ascii="宋体" w:hAnsi="宋体"/>
      <w:b/>
      <w:sz w:val="28"/>
      <w:szCs w:val="24"/>
      <w:lang w:val="en-GB"/>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numbering" Target="numbering.xml"/><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F5CF02-F311-4D9F-BEC0-D34A3049EEA5}">
  <ds:schemaRefs/>
</ds:datastoreItem>
</file>

<file path=docProps/app.xml><?xml version="1.0" encoding="utf-8"?>
<Properties xmlns="http://schemas.openxmlformats.org/officeDocument/2006/extended-properties" xmlns:vt="http://schemas.openxmlformats.org/officeDocument/2006/docPropsVTypes">
  <Template>Normal.dotm</Template>
  <Company>P R C</Company>
  <Pages>137</Pages>
  <Words>309</Words>
  <Characters>764</Characters>
  <Lines>556</Lines>
  <Paragraphs>156</Paragraphs>
  <TotalTime>3</TotalTime>
  <ScaleCrop>false</ScaleCrop>
  <LinksUpToDate>false</LinksUpToDate>
  <CharactersWithSpaces>803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2025-07-09T01:22:00Z</dcterms:created>
  <dc:creator>Windows User</dc:creator>
  <cp:lastModifiedBy>WPS_1762688594</cp:lastModifiedBy>
  <dcterms:modified xsi:type="dcterms:W3CDTF">2026-04-02T00:48:12Z</dcterms:modified>
  <cp:revision>499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eyJoZGlkIjoiYjMwZDAwNjZmOGFlYjcwNGUwZDQ1YTJiNTYwZjUxNjgiLCJ1c2VySWQiOiIxNzcwNjQzNzg3In0=</vt:lpwstr>
  </property>
  <property fmtid="{D5CDD505-2E9C-101B-9397-08002B2CF9AE}" pid="3" name="KSOProductBuildVer">
    <vt:lpwstr>2052-12.1.0.25225</vt:lpwstr>
  </property>
  <property fmtid="{D5CDD505-2E9C-101B-9397-08002B2CF9AE}" pid="4" name="ICV">
    <vt:lpwstr>1BF42368AA0C4AD6B3FAE3A582D12886_12</vt:lpwstr>
  </property>
</Properties>
</file>